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70" w:rsidRDefault="00034F70" w:rsidP="00034F70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85423" cy="9525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81" cy="9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F70" w:rsidRPr="00F2607B" w:rsidRDefault="00034F70" w:rsidP="00034F70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ΔΙΑ</w:t>
      </w: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E93605">
        <w:rPr>
          <w:rFonts w:ascii="Century Gothic" w:hAnsi="Century Gothic" w:cs="Arial"/>
          <w:sz w:val="22"/>
          <w:szCs w:val="22"/>
        </w:rPr>
        <w:t xml:space="preserve">          </w:t>
      </w:r>
      <w:r w:rsidRPr="001B5335">
        <w:rPr>
          <w:rFonts w:ascii="Century Gothic" w:hAnsi="Century Gothic" w:cs="Arial"/>
          <w:sz w:val="22"/>
          <w:szCs w:val="22"/>
        </w:rPr>
        <w:t xml:space="preserve">Μυτιλήνη  </w:t>
      </w:r>
      <w:r w:rsidR="00007AC5">
        <w:rPr>
          <w:rFonts w:ascii="Century Gothic" w:hAnsi="Century Gothic" w:cs="Arial"/>
          <w:sz w:val="22"/>
          <w:szCs w:val="22"/>
        </w:rPr>
        <w:t>21</w:t>
      </w:r>
      <w:r>
        <w:rPr>
          <w:rFonts w:ascii="Century Gothic" w:hAnsi="Century Gothic" w:cs="Arial"/>
          <w:sz w:val="22"/>
          <w:szCs w:val="22"/>
        </w:rPr>
        <w:t>-01-2</w:t>
      </w:r>
      <w:r w:rsidR="00DE4A94">
        <w:rPr>
          <w:rFonts w:ascii="Century Gothic" w:hAnsi="Century Gothic" w:cs="Arial"/>
          <w:sz w:val="22"/>
          <w:szCs w:val="22"/>
        </w:rPr>
        <w:t>02</w:t>
      </w:r>
      <w:r w:rsidRPr="00E43C9A">
        <w:rPr>
          <w:rFonts w:ascii="Century Gothic" w:hAnsi="Century Gothic" w:cs="Arial"/>
          <w:sz w:val="22"/>
          <w:szCs w:val="22"/>
        </w:rPr>
        <w:t>2</w:t>
      </w:r>
    </w:p>
    <w:p w:rsidR="00034F70" w:rsidRPr="00F2607B" w:rsidRDefault="00034F70" w:rsidP="00034F70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1A0EDD">
        <w:rPr>
          <w:rFonts w:ascii="Century Gothic" w:hAnsi="Century Gothic" w:cs="Arial"/>
          <w:sz w:val="22"/>
          <w:szCs w:val="22"/>
        </w:rPr>
        <w:t xml:space="preserve"> </w:t>
      </w:r>
      <w:r w:rsidR="00C81641">
        <w:rPr>
          <w:rFonts w:ascii="Century Gothic" w:hAnsi="Century Gothic" w:cs="Arial"/>
          <w:sz w:val="22"/>
          <w:szCs w:val="22"/>
        </w:rPr>
        <w:t xml:space="preserve"> </w:t>
      </w:r>
      <w:r w:rsidR="001827A3">
        <w:rPr>
          <w:rFonts w:ascii="Century Gothic" w:hAnsi="Century Gothic" w:cs="Arial"/>
          <w:sz w:val="22"/>
          <w:szCs w:val="22"/>
        </w:rPr>
        <w:t xml:space="preserve">        Αριθ.πρωτ:  487</w:t>
      </w:r>
      <w:bookmarkStart w:id="0" w:name="_GoBack"/>
      <w:bookmarkEnd w:id="0"/>
    </w:p>
    <w:p w:rsidR="00034F70" w:rsidRPr="001B5335" w:rsidRDefault="00034F70" w:rsidP="00034F70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034F70" w:rsidRPr="00E43C9A" w:rsidRDefault="00034F70" w:rsidP="00DD68CB">
      <w:pPr>
        <w:jc w:val="both"/>
        <w:rPr>
          <w:rFonts w:ascii="Century Gothic" w:hAnsi="Century Gothic" w:cs="Arial"/>
          <w:sz w:val="22"/>
          <w:szCs w:val="22"/>
        </w:rPr>
      </w:pPr>
      <w:r w:rsidRPr="00E43C9A">
        <w:rPr>
          <w:rFonts w:ascii="Century Gothic" w:hAnsi="Century Gothic" w:cs="Arial"/>
          <w:sz w:val="22"/>
          <w:szCs w:val="22"/>
        </w:rPr>
        <w:tab/>
      </w:r>
      <w:r w:rsidR="00DD68CB" w:rsidRPr="00E43C9A">
        <w:rPr>
          <w:rFonts w:ascii="Century Gothic" w:hAnsi="Century Gothic" w:cs="Arial"/>
          <w:sz w:val="22"/>
          <w:szCs w:val="22"/>
        </w:rPr>
        <w:tab/>
      </w:r>
      <w:r w:rsidR="00DD68CB" w:rsidRPr="00E43C9A">
        <w:rPr>
          <w:rFonts w:ascii="Century Gothic" w:hAnsi="Century Gothic" w:cs="Arial"/>
          <w:sz w:val="22"/>
          <w:szCs w:val="22"/>
        </w:rPr>
        <w:tab/>
      </w:r>
      <w:r w:rsidR="00DD68CB" w:rsidRPr="00E43C9A">
        <w:rPr>
          <w:rFonts w:ascii="Century Gothic" w:hAnsi="Century Gothic" w:cs="Arial"/>
          <w:sz w:val="22"/>
          <w:szCs w:val="22"/>
        </w:rPr>
        <w:tab/>
      </w:r>
    </w:p>
    <w:p w:rsidR="00034F70" w:rsidRPr="00E43C9A" w:rsidRDefault="00034F70" w:rsidP="00034F70">
      <w:pPr>
        <w:jc w:val="both"/>
        <w:rPr>
          <w:rFonts w:ascii="Century Gothic" w:hAnsi="Century Gothic" w:cs="Arial"/>
          <w:sz w:val="22"/>
          <w:szCs w:val="22"/>
        </w:rPr>
      </w:pPr>
    </w:p>
    <w:p w:rsidR="00034F70" w:rsidRPr="00F2607B" w:rsidRDefault="00034F70" w:rsidP="00034F70">
      <w:pPr>
        <w:spacing w:line="360" w:lineRule="auto"/>
        <w:jc w:val="center"/>
        <w:rPr>
          <w:rFonts w:ascii="Century Gothic" w:hAnsi="Century Gothic"/>
          <w:b/>
          <w:spacing w:val="72"/>
          <w:szCs w:val="22"/>
        </w:rPr>
      </w:pPr>
      <w:r w:rsidRPr="00F2607B">
        <w:rPr>
          <w:rFonts w:ascii="Century Gothic" w:hAnsi="Century Gothic"/>
          <w:b/>
          <w:spacing w:val="72"/>
          <w:szCs w:val="22"/>
        </w:rPr>
        <w:t>ΔΕΛΤΙΟ ΤΥΠΟΥ</w:t>
      </w:r>
    </w:p>
    <w:p w:rsidR="00034F70" w:rsidRDefault="007E42F1" w:rsidP="00034F7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n-US"/>
        </w:rPr>
        <w:t>H</w:t>
      </w:r>
      <w:r w:rsidRPr="007E42F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ΔΕΥΑ Λέσβου ενημερώνει τους δημότες </w:t>
      </w:r>
      <w:r w:rsidR="00034F70">
        <w:rPr>
          <w:rFonts w:ascii="Century Gothic" w:hAnsi="Century Gothic"/>
          <w:sz w:val="22"/>
          <w:szCs w:val="22"/>
        </w:rPr>
        <w:t xml:space="preserve">ότι για το έτος 2022 και για την </w:t>
      </w:r>
      <w:r w:rsidR="00034F70" w:rsidRPr="00034F70">
        <w:rPr>
          <w:rFonts w:ascii="Century Gothic" w:hAnsi="Century Gothic"/>
          <w:sz w:val="22"/>
          <w:szCs w:val="22"/>
        </w:rPr>
        <w:t xml:space="preserve">περίοδο από Ιανουάριο 2022 έως και Ιούνιο 2022 </w:t>
      </w:r>
      <w:r w:rsidR="00034F70">
        <w:rPr>
          <w:rFonts w:ascii="Century Gothic" w:hAnsi="Century Gothic"/>
          <w:sz w:val="22"/>
          <w:szCs w:val="22"/>
        </w:rPr>
        <w:t>δίνεται η δυνατότητα ρ</w:t>
      </w:r>
      <w:r w:rsidR="00034F70" w:rsidRPr="00034F70">
        <w:rPr>
          <w:rFonts w:ascii="Century Gothic" w:hAnsi="Century Gothic"/>
          <w:sz w:val="22"/>
          <w:szCs w:val="22"/>
        </w:rPr>
        <w:t>ύθμιση</w:t>
      </w:r>
      <w:r w:rsidR="00034F70">
        <w:rPr>
          <w:rFonts w:ascii="Century Gothic" w:hAnsi="Century Gothic"/>
          <w:sz w:val="22"/>
          <w:szCs w:val="22"/>
        </w:rPr>
        <w:t>ς</w:t>
      </w:r>
      <w:r w:rsidR="00034F70" w:rsidRPr="00034F70">
        <w:rPr>
          <w:rFonts w:ascii="Century Gothic" w:hAnsi="Century Gothic"/>
          <w:sz w:val="22"/>
          <w:szCs w:val="22"/>
        </w:rPr>
        <w:t xml:space="preserve"> ληξιπρόθεσμων οφειλών</w:t>
      </w:r>
      <w:r w:rsidR="00034F70">
        <w:rPr>
          <w:rFonts w:ascii="Century Gothic" w:hAnsi="Century Gothic"/>
          <w:sz w:val="22"/>
          <w:szCs w:val="22"/>
        </w:rPr>
        <w:t xml:space="preserve"> </w:t>
      </w:r>
      <w:r w:rsidR="00034F70" w:rsidRPr="00034F70">
        <w:rPr>
          <w:rFonts w:ascii="Century Gothic" w:hAnsi="Century Gothic"/>
          <w:sz w:val="22"/>
          <w:szCs w:val="22"/>
        </w:rPr>
        <w:t>για όλους τους καταναλωτές ευθύνης της Δ</w:t>
      </w:r>
      <w:r w:rsidR="00034F70">
        <w:rPr>
          <w:rFonts w:ascii="Century Gothic" w:hAnsi="Century Gothic"/>
          <w:sz w:val="22"/>
          <w:szCs w:val="22"/>
        </w:rPr>
        <w:t xml:space="preserve">.Ε.Υ.Α. Λέσβου, </w:t>
      </w:r>
      <w:r w:rsidR="00034F70" w:rsidRPr="00034F70">
        <w:rPr>
          <w:rFonts w:ascii="Century Gothic" w:hAnsi="Century Gothic"/>
          <w:sz w:val="22"/>
          <w:szCs w:val="22"/>
        </w:rPr>
        <w:t>έως και 50 δόσεων άτοκα από την έναρξη κ</w:t>
      </w:r>
      <w:r w:rsidR="00034F70">
        <w:rPr>
          <w:rFonts w:ascii="Century Gothic" w:hAnsi="Century Gothic"/>
          <w:sz w:val="22"/>
          <w:szCs w:val="22"/>
        </w:rPr>
        <w:t xml:space="preserve">αταβολής του νέου διακανονισμού </w:t>
      </w:r>
      <w:r w:rsidR="00034F70" w:rsidRPr="00034F70">
        <w:rPr>
          <w:rFonts w:ascii="Century Gothic" w:hAnsi="Century Gothic"/>
          <w:sz w:val="22"/>
          <w:szCs w:val="22"/>
        </w:rPr>
        <w:t xml:space="preserve">για οφειλές που έχουν βεβαιωθεί </w:t>
      </w:r>
      <w:r w:rsidR="00034F70">
        <w:rPr>
          <w:rFonts w:ascii="Century Gothic" w:hAnsi="Century Gothic"/>
          <w:sz w:val="22"/>
          <w:szCs w:val="22"/>
        </w:rPr>
        <w:t>από τη</w:t>
      </w:r>
      <w:r w:rsidR="00034F70" w:rsidRPr="00034F70">
        <w:rPr>
          <w:rFonts w:ascii="Century Gothic" w:hAnsi="Century Gothic"/>
          <w:sz w:val="22"/>
          <w:szCs w:val="22"/>
        </w:rPr>
        <w:t xml:space="preserve"> Δ</w:t>
      </w:r>
      <w:r w:rsidR="00E43C9A">
        <w:rPr>
          <w:rFonts w:ascii="Century Gothic" w:hAnsi="Century Gothic"/>
          <w:sz w:val="22"/>
          <w:szCs w:val="22"/>
        </w:rPr>
        <w:t>.Ε.Υ.Α.</w:t>
      </w:r>
      <w:r w:rsidR="00034F70">
        <w:rPr>
          <w:rFonts w:ascii="Century Gothic" w:hAnsi="Century Gothic"/>
          <w:sz w:val="22"/>
          <w:szCs w:val="22"/>
        </w:rPr>
        <w:t xml:space="preserve">Λέσβου </w:t>
      </w:r>
      <w:r w:rsidR="00034F70" w:rsidRPr="00034F70">
        <w:rPr>
          <w:rFonts w:ascii="Century Gothic" w:hAnsi="Century Gothic"/>
          <w:sz w:val="22"/>
          <w:szCs w:val="22"/>
        </w:rPr>
        <w:t>έως 31/10/2021</w:t>
      </w:r>
      <w:r w:rsidR="00034F70">
        <w:rPr>
          <w:rFonts w:ascii="Century Gothic" w:hAnsi="Century Gothic"/>
          <w:sz w:val="22"/>
          <w:szCs w:val="22"/>
        </w:rPr>
        <w:t>,</w:t>
      </w:r>
      <w:r w:rsidR="00034F70" w:rsidRPr="00034F70">
        <w:rPr>
          <w:rFonts w:ascii="Century Gothic" w:hAnsi="Century Gothic"/>
          <w:sz w:val="22"/>
          <w:szCs w:val="22"/>
        </w:rPr>
        <w:t xml:space="preserve"> με τη</w:t>
      </w:r>
      <w:r w:rsidR="00E43C9A">
        <w:rPr>
          <w:rFonts w:ascii="Century Gothic" w:hAnsi="Century Gothic"/>
          <w:sz w:val="22"/>
          <w:szCs w:val="22"/>
        </w:rPr>
        <w:t>ν προϋπόθεση ότι εξυπηρετούν τη</w:t>
      </w:r>
      <w:r w:rsidR="00034F70" w:rsidRPr="00034F70">
        <w:rPr>
          <w:rFonts w:ascii="Century Gothic" w:hAnsi="Century Gothic"/>
          <w:sz w:val="22"/>
          <w:szCs w:val="22"/>
        </w:rPr>
        <w:t xml:space="preserve"> ρύθμιση.</w:t>
      </w:r>
    </w:p>
    <w:p w:rsidR="00034F70" w:rsidRPr="00034F70" w:rsidRDefault="00034F70" w:rsidP="00034F7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Η ημερομηνία λήξης της συγκεκριμένης ρύθμισης είναι η 30/06/2022.  </w:t>
      </w:r>
    </w:p>
    <w:p w:rsidR="00034F70" w:rsidRPr="00034F70" w:rsidRDefault="00E43C9A" w:rsidP="00034F7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Η έναρξη της ρύθμισης προϋποθέτει την καταβολή της πρώτης</w:t>
      </w:r>
      <w:r w:rsidR="00034F70" w:rsidRPr="00034F70">
        <w:rPr>
          <w:rFonts w:ascii="Century Gothic" w:hAnsi="Century Gothic"/>
          <w:sz w:val="22"/>
          <w:szCs w:val="22"/>
        </w:rPr>
        <w:t xml:space="preserve"> μηνιαία</w:t>
      </w:r>
      <w:r w:rsidR="00034F70">
        <w:rPr>
          <w:rFonts w:ascii="Century Gothic" w:hAnsi="Century Gothic"/>
          <w:sz w:val="22"/>
          <w:szCs w:val="22"/>
        </w:rPr>
        <w:t>ς</w:t>
      </w:r>
      <w:r w:rsidR="00034F70" w:rsidRPr="00034F70">
        <w:rPr>
          <w:rFonts w:ascii="Century Gothic" w:hAnsi="Century Gothic"/>
          <w:sz w:val="22"/>
          <w:szCs w:val="22"/>
        </w:rPr>
        <w:t xml:space="preserve"> δόσης.</w:t>
      </w:r>
      <w:r w:rsidR="00034F70">
        <w:rPr>
          <w:rFonts w:ascii="Century Gothic" w:hAnsi="Century Gothic"/>
          <w:sz w:val="22"/>
          <w:szCs w:val="22"/>
        </w:rPr>
        <w:t xml:space="preserve"> </w:t>
      </w:r>
      <w:r w:rsidR="00034F70" w:rsidRPr="00034F70">
        <w:rPr>
          <w:rFonts w:ascii="Century Gothic" w:hAnsi="Century Gothic"/>
          <w:sz w:val="22"/>
          <w:szCs w:val="22"/>
        </w:rPr>
        <w:t>Μη</w:t>
      </w:r>
      <w:r w:rsidR="00034F70">
        <w:rPr>
          <w:rFonts w:ascii="Century Gothic" w:hAnsi="Century Gothic"/>
          <w:sz w:val="22"/>
          <w:szCs w:val="22"/>
        </w:rPr>
        <w:t xml:space="preserve"> </w:t>
      </w:r>
      <w:r w:rsidR="00034F70" w:rsidRPr="00034F70">
        <w:rPr>
          <w:rFonts w:ascii="Century Gothic" w:hAnsi="Century Gothic"/>
          <w:sz w:val="22"/>
          <w:szCs w:val="22"/>
        </w:rPr>
        <w:t>έγκαιρη καταβολή της μηνιαίας δόσης θα επιβαρύνεται με προσαύξηση 5%.</w:t>
      </w:r>
      <w:r w:rsidR="00034F70">
        <w:rPr>
          <w:rFonts w:ascii="Century Gothic" w:hAnsi="Century Gothic"/>
          <w:sz w:val="22"/>
          <w:szCs w:val="22"/>
        </w:rPr>
        <w:t xml:space="preserve"> </w:t>
      </w:r>
      <w:r w:rsidR="00034F70" w:rsidRPr="00034F70">
        <w:rPr>
          <w:rFonts w:ascii="Century Gothic" w:hAnsi="Century Gothic"/>
          <w:sz w:val="22"/>
          <w:szCs w:val="22"/>
        </w:rPr>
        <w:t xml:space="preserve">Η μη εξυπηρέτηση τριών συνεχόμενων μηνιαίων δόσεων έχει σαν αποτέλεσμα την αυτόματη λύση της ρύθμισης με επαναφορά όλων των προσαυξήσεων που είχαν διαγραφεί. </w:t>
      </w:r>
    </w:p>
    <w:p w:rsidR="00034F70" w:rsidRPr="00034F70" w:rsidRDefault="004D418A" w:rsidP="00034F7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Ελάχιστη δόση ανά μήνα είναι τα </w:t>
      </w:r>
      <w:r w:rsidR="00034F70" w:rsidRPr="00034F70">
        <w:rPr>
          <w:rFonts w:ascii="Century Gothic" w:hAnsi="Century Gothic"/>
          <w:sz w:val="22"/>
          <w:szCs w:val="22"/>
        </w:rPr>
        <w:t xml:space="preserve">50,00€ για οφειλές από 1.001,00€ και 20,00€ </w:t>
      </w:r>
      <w:r w:rsidR="007E42F1">
        <w:rPr>
          <w:rFonts w:ascii="Century Gothic" w:hAnsi="Century Gothic"/>
          <w:sz w:val="22"/>
          <w:szCs w:val="22"/>
        </w:rPr>
        <w:t xml:space="preserve">για οφειλές </w:t>
      </w:r>
      <w:r w:rsidR="00034F70" w:rsidRPr="00034F70">
        <w:rPr>
          <w:rFonts w:ascii="Century Gothic" w:hAnsi="Century Gothic"/>
          <w:sz w:val="22"/>
          <w:szCs w:val="22"/>
        </w:rPr>
        <w:t>κάτω των 1.000,00€</w:t>
      </w:r>
      <w:r w:rsidR="00DD68CB">
        <w:rPr>
          <w:rFonts w:ascii="Century Gothic" w:hAnsi="Century Gothic"/>
          <w:sz w:val="22"/>
          <w:szCs w:val="22"/>
        </w:rPr>
        <w:t>.</w:t>
      </w:r>
    </w:p>
    <w:p w:rsidR="00034F70" w:rsidRPr="00034F70" w:rsidRDefault="00034F70" w:rsidP="00034F7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 w:rsidRPr="00034F70">
        <w:rPr>
          <w:rFonts w:ascii="Century Gothic" w:hAnsi="Century Gothic"/>
          <w:sz w:val="22"/>
          <w:szCs w:val="22"/>
        </w:rPr>
        <w:t xml:space="preserve"> •</w:t>
      </w:r>
      <w:r w:rsidRPr="00034F70">
        <w:rPr>
          <w:rFonts w:ascii="Century Gothic" w:hAnsi="Century Gothic"/>
          <w:sz w:val="22"/>
          <w:szCs w:val="22"/>
        </w:rPr>
        <w:tab/>
        <w:t>Καταναλωτές που επιθυμούν ν</w:t>
      </w:r>
      <w:r w:rsidR="00DD68CB">
        <w:rPr>
          <w:rFonts w:ascii="Century Gothic" w:hAnsi="Century Gothic"/>
          <w:sz w:val="22"/>
          <w:szCs w:val="22"/>
        </w:rPr>
        <w:t xml:space="preserve">α εξοφλήσουν </w:t>
      </w:r>
      <w:r w:rsidR="007E42F1">
        <w:rPr>
          <w:rFonts w:ascii="Century Gothic" w:hAnsi="Century Gothic"/>
          <w:sz w:val="22"/>
          <w:szCs w:val="22"/>
        </w:rPr>
        <w:t xml:space="preserve">τις οφειλές </w:t>
      </w:r>
      <w:r w:rsidR="00DD68CB">
        <w:rPr>
          <w:rFonts w:ascii="Century Gothic" w:hAnsi="Century Gothic"/>
          <w:sz w:val="22"/>
          <w:szCs w:val="22"/>
        </w:rPr>
        <w:t>εφάπαξ</w:t>
      </w:r>
      <w:r w:rsidR="007E42F1">
        <w:rPr>
          <w:rFonts w:ascii="Century Gothic" w:hAnsi="Century Gothic"/>
          <w:sz w:val="22"/>
          <w:szCs w:val="22"/>
        </w:rPr>
        <w:t>,</w:t>
      </w:r>
      <w:r w:rsidR="00DD68CB">
        <w:rPr>
          <w:rFonts w:ascii="Century Gothic" w:hAnsi="Century Gothic"/>
          <w:sz w:val="22"/>
          <w:szCs w:val="22"/>
        </w:rPr>
        <w:t xml:space="preserve"> σε μία δόση</w:t>
      </w:r>
      <w:r w:rsidRPr="00034F70">
        <w:rPr>
          <w:rFonts w:ascii="Century Gothic" w:hAnsi="Century Gothic"/>
          <w:sz w:val="22"/>
          <w:szCs w:val="22"/>
        </w:rPr>
        <w:t>, παρέχεται δυνατότητα μη καταβολής προσαυξήσεων.</w:t>
      </w:r>
    </w:p>
    <w:p w:rsidR="00034F70" w:rsidRPr="00034F70" w:rsidRDefault="00034F70" w:rsidP="00034F7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 w:rsidRPr="00034F70">
        <w:rPr>
          <w:rFonts w:ascii="Century Gothic" w:hAnsi="Century Gothic"/>
          <w:sz w:val="22"/>
          <w:szCs w:val="22"/>
        </w:rPr>
        <w:t>•</w:t>
      </w:r>
      <w:r w:rsidRPr="00034F70">
        <w:rPr>
          <w:rFonts w:ascii="Century Gothic" w:hAnsi="Century Gothic"/>
          <w:sz w:val="22"/>
          <w:szCs w:val="22"/>
        </w:rPr>
        <w:tab/>
        <w:t xml:space="preserve">Καταναλωτές που επιθυμούν να εξοφλήσουν </w:t>
      </w:r>
      <w:r w:rsidR="007E42F1">
        <w:rPr>
          <w:rFonts w:ascii="Century Gothic" w:hAnsi="Century Gothic"/>
          <w:sz w:val="22"/>
          <w:szCs w:val="22"/>
        </w:rPr>
        <w:t xml:space="preserve">τις οφειλές </w:t>
      </w:r>
      <w:r w:rsidRPr="00034F70">
        <w:rPr>
          <w:rFonts w:ascii="Century Gothic" w:hAnsi="Century Gothic"/>
          <w:sz w:val="22"/>
          <w:szCs w:val="22"/>
        </w:rPr>
        <w:t xml:space="preserve">σε 10 μηνιαίες δόσεις παρέχεται έκπτωση  80% </w:t>
      </w:r>
      <w:r w:rsidR="00DD68CB" w:rsidRPr="00034F70">
        <w:rPr>
          <w:rFonts w:ascii="Century Gothic" w:hAnsi="Century Gothic"/>
          <w:sz w:val="22"/>
          <w:szCs w:val="22"/>
        </w:rPr>
        <w:t>επί</w:t>
      </w:r>
      <w:r w:rsidRPr="00034F70">
        <w:rPr>
          <w:rFonts w:ascii="Century Gothic" w:hAnsi="Century Gothic"/>
          <w:sz w:val="22"/>
          <w:szCs w:val="22"/>
        </w:rPr>
        <w:t xml:space="preserve"> των βεβαιωμένων προσαυξήσεων.</w:t>
      </w:r>
    </w:p>
    <w:p w:rsidR="00034F70" w:rsidRPr="00034F70" w:rsidRDefault="00034F70" w:rsidP="00034F7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 w:rsidRPr="00034F70">
        <w:rPr>
          <w:rFonts w:ascii="Century Gothic" w:hAnsi="Century Gothic"/>
          <w:sz w:val="22"/>
          <w:szCs w:val="22"/>
        </w:rPr>
        <w:t>•</w:t>
      </w:r>
      <w:r w:rsidRPr="00034F70">
        <w:rPr>
          <w:rFonts w:ascii="Century Gothic" w:hAnsi="Century Gothic"/>
          <w:sz w:val="22"/>
          <w:szCs w:val="22"/>
        </w:rPr>
        <w:tab/>
        <w:t>Καταναλωτ</w:t>
      </w:r>
      <w:r w:rsidR="00DD68CB">
        <w:rPr>
          <w:rFonts w:ascii="Century Gothic" w:hAnsi="Century Gothic"/>
          <w:sz w:val="22"/>
          <w:szCs w:val="22"/>
        </w:rPr>
        <w:t xml:space="preserve">ές που επιθυμούν να εξοφλήσουν </w:t>
      </w:r>
      <w:r w:rsidR="007E42F1">
        <w:rPr>
          <w:rFonts w:ascii="Century Gothic" w:hAnsi="Century Gothic"/>
          <w:sz w:val="22"/>
          <w:szCs w:val="22"/>
        </w:rPr>
        <w:t xml:space="preserve">τις οφειλές </w:t>
      </w:r>
      <w:r w:rsidRPr="00034F70">
        <w:rPr>
          <w:rFonts w:ascii="Century Gothic" w:hAnsi="Century Gothic"/>
          <w:sz w:val="22"/>
          <w:szCs w:val="22"/>
        </w:rPr>
        <w:t xml:space="preserve">σε 20 μηνιαίες δόσεις παρέχεται έκπτωση  60% </w:t>
      </w:r>
      <w:r w:rsidR="00DD68CB" w:rsidRPr="00034F70">
        <w:rPr>
          <w:rFonts w:ascii="Century Gothic" w:hAnsi="Century Gothic"/>
          <w:sz w:val="22"/>
          <w:szCs w:val="22"/>
        </w:rPr>
        <w:t>επί</w:t>
      </w:r>
      <w:r w:rsidRPr="00034F70">
        <w:rPr>
          <w:rFonts w:ascii="Century Gothic" w:hAnsi="Century Gothic"/>
          <w:sz w:val="22"/>
          <w:szCs w:val="22"/>
        </w:rPr>
        <w:t xml:space="preserve"> των βεβαιωμένων προσαυξήσεων.</w:t>
      </w:r>
    </w:p>
    <w:p w:rsidR="00034F70" w:rsidRPr="00034F70" w:rsidRDefault="00034F70" w:rsidP="00034F7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 w:rsidRPr="00034F70">
        <w:rPr>
          <w:rFonts w:ascii="Century Gothic" w:hAnsi="Century Gothic"/>
          <w:sz w:val="22"/>
          <w:szCs w:val="22"/>
        </w:rPr>
        <w:t>•</w:t>
      </w:r>
      <w:r w:rsidRPr="00034F70">
        <w:rPr>
          <w:rFonts w:ascii="Century Gothic" w:hAnsi="Century Gothic"/>
          <w:sz w:val="22"/>
          <w:szCs w:val="22"/>
        </w:rPr>
        <w:tab/>
        <w:t xml:space="preserve">Καταναλωτές που επιθυμούν να εξοφλήσουν </w:t>
      </w:r>
      <w:r w:rsidR="007E42F1">
        <w:rPr>
          <w:rFonts w:ascii="Century Gothic" w:hAnsi="Century Gothic"/>
          <w:sz w:val="22"/>
          <w:szCs w:val="22"/>
        </w:rPr>
        <w:t xml:space="preserve">τις οφειλές </w:t>
      </w:r>
      <w:r w:rsidRPr="00034F70">
        <w:rPr>
          <w:rFonts w:ascii="Century Gothic" w:hAnsi="Century Gothic"/>
          <w:sz w:val="22"/>
          <w:szCs w:val="22"/>
        </w:rPr>
        <w:t xml:space="preserve">σε 30 μηνιαίες δόσεις παρέχεται έκπτωση  40% </w:t>
      </w:r>
      <w:r w:rsidR="00DD68CB" w:rsidRPr="00034F70">
        <w:rPr>
          <w:rFonts w:ascii="Century Gothic" w:hAnsi="Century Gothic"/>
          <w:sz w:val="22"/>
          <w:szCs w:val="22"/>
        </w:rPr>
        <w:t>επί</w:t>
      </w:r>
      <w:r w:rsidRPr="00034F70">
        <w:rPr>
          <w:rFonts w:ascii="Century Gothic" w:hAnsi="Century Gothic"/>
          <w:sz w:val="22"/>
          <w:szCs w:val="22"/>
        </w:rPr>
        <w:t xml:space="preserve"> των βεβαιωμένων προσαυξήσεων.</w:t>
      </w:r>
    </w:p>
    <w:p w:rsidR="00034F70" w:rsidRPr="00034F70" w:rsidRDefault="00034F70" w:rsidP="00034F70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 w:rsidRPr="00034F70">
        <w:rPr>
          <w:rFonts w:ascii="Century Gothic" w:hAnsi="Century Gothic"/>
          <w:sz w:val="22"/>
          <w:szCs w:val="22"/>
        </w:rPr>
        <w:t>•</w:t>
      </w:r>
      <w:r w:rsidRPr="00034F70">
        <w:rPr>
          <w:rFonts w:ascii="Century Gothic" w:hAnsi="Century Gothic"/>
          <w:sz w:val="22"/>
          <w:szCs w:val="22"/>
        </w:rPr>
        <w:tab/>
        <w:t xml:space="preserve">Καταναλωτές που επιθυμούν να εξοφλήσουν </w:t>
      </w:r>
      <w:r w:rsidR="007E42F1">
        <w:rPr>
          <w:rFonts w:ascii="Century Gothic" w:hAnsi="Century Gothic"/>
          <w:sz w:val="22"/>
          <w:szCs w:val="22"/>
        </w:rPr>
        <w:t xml:space="preserve">τις οφειλές </w:t>
      </w:r>
      <w:r w:rsidRPr="00034F70">
        <w:rPr>
          <w:rFonts w:ascii="Century Gothic" w:hAnsi="Century Gothic"/>
          <w:sz w:val="22"/>
          <w:szCs w:val="22"/>
        </w:rPr>
        <w:t xml:space="preserve">σε 40 μηνιαίες δόσεις παρέχεται έκπτωση  20% </w:t>
      </w:r>
      <w:r w:rsidR="00DD68CB" w:rsidRPr="00034F70">
        <w:rPr>
          <w:rFonts w:ascii="Century Gothic" w:hAnsi="Century Gothic"/>
          <w:sz w:val="22"/>
          <w:szCs w:val="22"/>
        </w:rPr>
        <w:t>επί</w:t>
      </w:r>
      <w:r w:rsidRPr="00034F70">
        <w:rPr>
          <w:rFonts w:ascii="Century Gothic" w:hAnsi="Century Gothic"/>
          <w:sz w:val="22"/>
          <w:szCs w:val="22"/>
        </w:rPr>
        <w:t xml:space="preserve"> των βεβαιωμένων προσαυξήσεων.</w:t>
      </w:r>
    </w:p>
    <w:p w:rsidR="00034F70" w:rsidRPr="001C7D39" w:rsidRDefault="00034F70" w:rsidP="00E93605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  <w:r w:rsidRPr="00034F70">
        <w:rPr>
          <w:rFonts w:ascii="Century Gothic" w:hAnsi="Century Gothic"/>
          <w:sz w:val="22"/>
          <w:szCs w:val="22"/>
        </w:rPr>
        <w:t>•</w:t>
      </w:r>
      <w:r w:rsidRPr="00034F70">
        <w:rPr>
          <w:rFonts w:ascii="Century Gothic" w:hAnsi="Century Gothic"/>
          <w:sz w:val="22"/>
          <w:szCs w:val="22"/>
        </w:rPr>
        <w:tab/>
        <w:t xml:space="preserve">Καταναλωτές που επιθυμούν να εξοφλήσουν </w:t>
      </w:r>
      <w:r w:rsidR="007E42F1">
        <w:rPr>
          <w:rFonts w:ascii="Century Gothic" w:hAnsi="Century Gothic"/>
          <w:sz w:val="22"/>
          <w:szCs w:val="22"/>
        </w:rPr>
        <w:t xml:space="preserve">τις οφειλές </w:t>
      </w:r>
      <w:r w:rsidRPr="00034F70">
        <w:rPr>
          <w:rFonts w:ascii="Century Gothic" w:hAnsi="Century Gothic"/>
          <w:sz w:val="22"/>
          <w:szCs w:val="22"/>
        </w:rPr>
        <w:t xml:space="preserve">σε 50 μηνιαίες δόσεις παρέχεται έκπτωση  10% </w:t>
      </w:r>
      <w:r w:rsidR="00DD68CB" w:rsidRPr="00034F70">
        <w:rPr>
          <w:rFonts w:ascii="Century Gothic" w:hAnsi="Century Gothic"/>
          <w:sz w:val="22"/>
          <w:szCs w:val="22"/>
        </w:rPr>
        <w:t>επί</w:t>
      </w:r>
      <w:r w:rsidRPr="00034F70">
        <w:rPr>
          <w:rFonts w:ascii="Century Gothic" w:hAnsi="Century Gothic"/>
          <w:sz w:val="22"/>
          <w:szCs w:val="22"/>
        </w:rPr>
        <w:t xml:space="preserve"> των βεβαιωμένων προσαυξήσεων</w:t>
      </w:r>
      <w:r w:rsidR="00DD68CB">
        <w:rPr>
          <w:rFonts w:ascii="Century Gothic" w:hAnsi="Century Gothic"/>
          <w:sz w:val="22"/>
          <w:szCs w:val="22"/>
        </w:rPr>
        <w:tab/>
      </w:r>
      <w:r w:rsidR="00DD68CB">
        <w:rPr>
          <w:rFonts w:ascii="Century Gothic" w:hAnsi="Century Gothic"/>
          <w:sz w:val="22"/>
          <w:szCs w:val="22"/>
        </w:rPr>
        <w:tab/>
      </w:r>
      <w:r w:rsidR="00DD68CB">
        <w:rPr>
          <w:rFonts w:ascii="Century Gothic" w:hAnsi="Century Gothic"/>
          <w:sz w:val="22"/>
          <w:szCs w:val="22"/>
        </w:rPr>
        <w:tab/>
      </w:r>
      <w:r w:rsidR="00DD68CB">
        <w:rPr>
          <w:rFonts w:ascii="Century Gothic" w:hAnsi="Century Gothic"/>
          <w:sz w:val="22"/>
          <w:szCs w:val="22"/>
        </w:rPr>
        <w:tab/>
      </w:r>
      <w:r w:rsidR="00DD68CB">
        <w:rPr>
          <w:rFonts w:ascii="Century Gothic" w:hAnsi="Century Gothic"/>
          <w:sz w:val="22"/>
          <w:szCs w:val="22"/>
        </w:rPr>
        <w:tab/>
      </w:r>
      <w:r w:rsidR="00DD68CB">
        <w:rPr>
          <w:rFonts w:ascii="Century Gothic" w:hAnsi="Century Gothic"/>
          <w:sz w:val="22"/>
          <w:szCs w:val="22"/>
        </w:rPr>
        <w:tab/>
      </w:r>
      <w:r w:rsidR="00DD68CB">
        <w:rPr>
          <w:rFonts w:ascii="Century Gothic" w:hAnsi="Century Gothic"/>
          <w:sz w:val="22"/>
          <w:szCs w:val="22"/>
        </w:rPr>
        <w:tab/>
      </w:r>
      <w:r w:rsidR="00DD68CB">
        <w:rPr>
          <w:rFonts w:ascii="Century Gothic" w:hAnsi="Century Gothic"/>
          <w:sz w:val="22"/>
          <w:szCs w:val="22"/>
        </w:rPr>
        <w:tab/>
      </w:r>
      <w:r w:rsidRPr="001C7D39">
        <w:rPr>
          <w:rFonts w:ascii="Century Gothic" w:hAnsi="Century Gothic"/>
          <w:sz w:val="22"/>
          <w:szCs w:val="22"/>
        </w:rPr>
        <w:t xml:space="preserve"> </w:t>
      </w:r>
    </w:p>
    <w:p w:rsidR="006D5F28" w:rsidRDefault="006D5F28" w:rsidP="00DD68CB">
      <w:pPr>
        <w:jc w:val="both"/>
      </w:pPr>
    </w:p>
    <w:sectPr w:rsidR="006D5F28" w:rsidSect="00007AC5">
      <w:pgSz w:w="11906" w:h="16838"/>
      <w:pgMar w:top="568" w:right="20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70"/>
    <w:rsid w:val="00007AC5"/>
    <w:rsid w:val="00034F70"/>
    <w:rsid w:val="001827A3"/>
    <w:rsid w:val="001A0EDD"/>
    <w:rsid w:val="002356F3"/>
    <w:rsid w:val="004D418A"/>
    <w:rsid w:val="006D5F28"/>
    <w:rsid w:val="007E42F1"/>
    <w:rsid w:val="009808FF"/>
    <w:rsid w:val="00C2691E"/>
    <w:rsid w:val="00C81641"/>
    <w:rsid w:val="00D86999"/>
    <w:rsid w:val="00DD68CB"/>
    <w:rsid w:val="00DE4A94"/>
    <w:rsid w:val="00E43C9A"/>
    <w:rsid w:val="00E75AD4"/>
    <w:rsid w:val="00E93605"/>
    <w:rsid w:val="00F4457F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85A9"/>
  <w15:docId w15:val="{27A8E900-9573-46FB-B094-34AF01D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F70"/>
    <w:pPr>
      <w:spacing w:after="0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34F7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34F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4F7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GRAMMATEIA</cp:lastModifiedBy>
  <cp:revision>6</cp:revision>
  <dcterms:created xsi:type="dcterms:W3CDTF">2022-01-21T12:09:00Z</dcterms:created>
  <dcterms:modified xsi:type="dcterms:W3CDTF">2022-01-21T12:13:00Z</dcterms:modified>
</cp:coreProperties>
</file>