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7B0AA203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E22A14">
        <w:rPr>
          <w:rFonts w:ascii="Arial" w:hAnsi="Arial" w:cs="Arial"/>
          <w:sz w:val="22"/>
          <w:szCs w:val="22"/>
        </w:rPr>
        <w:t>1</w:t>
      </w:r>
      <w:r w:rsidR="003E6F57">
        <w:rPr>
          <w:rFonts w:ascii="Arial" w:hAnsi="Arial" w:cs="Arial"/>
          <w:sz w:val="22"/>
          <w:szCs w:val="22"/>
        </w:rPr>
        <w:t>1</w:t>
      </w:r>
      <w:r w:rsidR="00EB60C6">
        <w:rPr>
          <w:rFonts w:ascii="Arial" w:hAnsi="Arial" w:cs="Arial"/>
          <w:sz w:val="22"/>
          <w:szCs w:val="22"/>
        </w:rPr>
        <w:t>-04-2024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0798DA56" w14:textId="0F27B1D6" w:rsidR="00E22A14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 </w:t>
            </w:r>
            <w:r w:rsidR="000106C2">
              <w:t xml:space="preserve"> </w:t>
            </w:r>
            <w:r w:rsidR="007F2EFC">
              <w:t xml:space="preserve"> </w:t>
            </w:r>
            <w:r w:rsidR="00FB3F1F">
              <w:t xml:space="preserve"> </w:t>
            </w:r>
            <w:r w:rsidR="00E22A14">
              <w:t xml:space="preserve"> </w:t>
            </w:r>
            <w:r w:rsidR="00E22A14" w:rsidRPr="00E22A14">
              <w:rPr>
                <w:rFonts w:ascii="Arial" w:hAnsi="Arial" w:cs="Arial"/>
                <w:b/>
                <w:sz w:val="22"/>
                <w:szCs w:val="22"/>
              </w:rPr>
              <w:t xml:space="preserve">Προμήθεια ελαστικών για το Υπ. όχημα με αρ. κυκλ. ΜΥΖ </w:t>
            </w:r>
            <w:r w:rsidR="00CF59F0">
              <w:rPr>
                <w:rFonts w:ascii="Arial" w:hAnsi="Arial" w:cs="Arial"/>
                <w:b/>
                <w:sz w:val="22"/>
                <w:szCs w:val="22"/>
              </w:rPr>
              <w:t>6932</w:t>
            </w:r>
          </w:p>
          <w:p w14:paraId="37733815" w14:textId="77777777" w:rsidR="00E22A14" w:rsidRDefault="00E22A14" w:rsidP="00F713D2">
            <w:pPr>
              <w:rPr>
                <w:rFonts w:ascii="Arial" w:hAnsi="Arial" w:cs="Arial"/>
                <w:b/>
              </w:rPr>
            </w:pPr>
          </w:p>
          <w:p w14:paraId="38086E93" w14:textId="3EAA1EFB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3E6F57">
              <w:rPr>
                <w:rFonts w:ascii="Symbol" w:hAnsi="Symbol" w:cs="Arial"/>
                <w:b/>
                <w:sz w:val="22"/>
                <w:szCs w:val="22"/>
              </w:rPr>
              <w:t>3601/</w:t>
            </w:r>
            <w:r w:rsidR="00E22A14">
              <w:rPr>
                <w:rFonts w:ascii="Symbol" w:hAnsi="Symbol" w:cs="Arial"/>
                <w:b/>
                <w:sz w:val="22"/>
                <w:szCs w:val="22"/>
              </w:rPr>
              <w:t>1</w:t>
            </w:r>
            <w:r w:rsidR="003E6F57">
              <w:rPr>
                <w:rFonts w:ascii="Symbol" w:hAnsi="Symbol" w:cs="Arial"/>
                <w:b/>
                <w:sz w:val="22"/>
                <w:szCs w:val="22"/>
              </w:rPr>
              <w:t>1</w:t>
            </w:r>
            <w:r w:rsidR="00EB60C6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B852D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22A14" w:rsidRPr="00297C12" w14:paraId="4CA2D08F" w14:textId="77777777" w:rsidTr="00B852D3">
        <w:trPr>
          <w:trHeight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AB5" w14:textId="67ECAD07" w:rsidR="00E22A14" w:rsidRPr="004E6719" w:rsidRDefault="00E22A14" w:rsidP="00E22A1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EC6" w14:textId="31365419" w:rsidR="00E22A14" w:rsidRPr="008B619E" w:rsidRDefault="00E22A14" w:rsidP="00E22A14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5564" w14:textId="77777777" w:rsidR="00E22A14" w:rsidRDefault="00E22A14" w:rsidP="00E22A1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>ΕΛΑΣΤΙΚΑ ΔΙΑΣΤΑΣΕΩΝ 195 / 65 / R15</w:t>
            </w:r>
          </w:p>
          <w:p w14:paraId="161AE9BF" w14:textId="77777777" w:rsidR="00E22A14" w:rsidRDefault="00E22A14" w:rsidP="00E22A1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>ΔΕΙΚΤΗΣ ΦΟΡΤΙΟΥ: 91 Ή ΑΝΩΤΕΡΟ</w:t>
            </w:r>
          </w:p>
          <w:p w14:paraId="21860726" w14:textId="77777777" w:rsidR="00E22A14" w:rsidRDefault="00E22A14" w:rsidP="00E22A1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>ΔΕΙΚΤΗΣ ΤΑΧΥΤΗΤΑΣ Τ Η' ΑΝΩΤΕΡΟ</w:t>
            </w: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cr/>
              <w:t>ΘΕΡΙΝΟ ΕΛΑΣΤΙΚΟ ΧΩΡΙΣ ΑΛΠΙΚΟ</w:t>
            </w:r>
          </w:p>
          <w:p w14:paraId="2DCD1093" w14:textId="77777777" w:rsidR="00E22A14" w:rsidRDefault="00E22A14" w:rsidP="00E22A1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>ΣΥΜΒΟΛΟ, ΧΩΡΙΣ ΕΝΔΕΙΞΗ "M+S"</w:t>
            </w:r>
          </w:p>
          <w:p w14:paraId="54E13248" w14:textId="2F01B417" w:rsidR="00E22A14" w:rsidRPr="00A871C4" w:rsidRDefault="00E22A14" w:rsidP="00E22A1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*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ΤΙΜΗ ΜΕ ΤΟΠΟΘΕΤΗΣΗ, ΝΕΑ ΒΑΛΒΙΔΑ</w:t>
            </w: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ΚΑΙ ΖΥΓΟΣΤΑΘΜΙΣΗ</w:t>
            </w:r>
          </w:p>
        </w:tc>
        <w:tc>
          <w:tcPr>
            <w:tcW w:w="1220" w:type="dxa"/>
            <w:vAlign w:val="center"/>
          </w:tcPr>
          <w:p w14:paraId="5E52D3D7" w14:textId="7F3708CD" w:rsidR="00E22A14" w:rsidRPr="00775CA3" w:rsidRDefault="00E22A14" w:rsidP="00E22A1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100,00</w:t>
            </w:r>
          </w:p>
        </w:tc>
        <w:tc>
          <w:tcPr>
            <w:tcW w:w="1199" w:type="dxa"/>
            <w:vAlign w:val="center"/>
          </w:tcPr>
          <w:p w14:paraId="2A95B739" w14:textId="3A4D9E62" w:rsidR="00E22A14" w:rsidRPr="00775CA3" w:rsidRDefault="00E22A14" w:rsidP="00E22A1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65FEB698" w:rsidR="001C0899" w:rsidRPr="00775CA3" w:rsidRDefault="00FB3F1F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</w:t>
            </w:r>
            <w:r w:rsidR="00E65101">
              <w:rPr>
                <w:rFonts w:ascii="Arial" w:hAnsi="Arial" w:cs="Arial"/>
                <w:b/>
                <w:lang w:val="en-US"/>
              </w:rPr>
              <w:t>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4EAC56F4" w:rsidR="001C0899" w:rsidRPr="00775CA3" w:rsidRDefault="00FB3F1F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68.00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625DBD13" w:rsidR="001C0899" w:rsidRPr="00775CA3" w:rsidRDefault="00FB3F1F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468.00</w:t>
            </w:r>
          </w:p>
        </w:tc>
      </w:tr>
      <w:tr w:rsidR="00E22A14" w:rsidRPr="00297C12" w14:paraId="3810DC2D" w14:textId="77777777" w:rsidTr="007E7BF9">
        <w:trPr>
          <w:trHeight w:val="567"/>
          <w:jc w:val="center"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29CC" w14:textId="3A0F1371" w:rsidR="00E22A14" w:rsidRPr="007659AB" w:rsidRDefault="00E22A14" w:rsidP="00E22A14">
            <w:pPr>
              <w:tabs>
                <w:tab w:val="left" w:pos="138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Παραγωγής εταιρίας μέλους του Οργανισμού Ευρωπαίων Κατασκευαστών Ελαστικών και Γόμας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(E.T.R.M.A.) και του Τεχνικού Οργανισμού Ευρωπαϊκών Ελαστικών και Ζαντών (E.T.R.T.O.) και να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ικανοποιεί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τους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Ευρωπαϊκούς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Κανονισμούς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.75 (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Tyres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for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motor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cycles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),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.54,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.30,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.117 (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Rolling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sound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&amp;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EU</w:t>
            </w:r>
            <w:r w:rsidRPr="00E22A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Labelling Regulation 1222/2009) όπως αυτοί συμπληρώθηκαν ή τροποποιήθηκαν και ισχύουν έως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63AC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σήμερα.</w:t>
            </w:r>
          </w:p>
        </w:tc>
        <w:tc>
          <w:tcPr>
            <w:tcW w:w="1199" w:type="dxa"/>
            <w:vAlign w:val="center"/>
          </w:tcPr>
          <w:p w14:paraId="1DF76CAD" w14:textId="77777777" w:rsidR="00E22A14" w:rsidRPr="00E65101" w:rsidRDefault="00E22A14" w:rsidP="00E22A14">
            <w:pPr>
              <w:pStyle w:val="a8"/>
              <w:numPr>
                <w:ilvl w:val="0"/>
                <w:numId w:val="3"/>
              </w:num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FF21FC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B30FC" w14:textId="77777777" w:rsidR="00FF21FC" w:rsidRDefault="00FF21FC" w:rsidP="00520154">
      <w:r>
        <w:separator/>
      </w:r>
    </w:p>
  </w:endnote>
  <w:endnote w:type="continuationSeparator" w:id="0">
    <w:p w14:paraId="4FEF6094" w14:textId="77777777" w:rsidR="00FF21FC" w:rsidRDefault="00FF21F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60225" w14:textId="77777777" w:rsidR="00FF21FC" w:rsidRDefault="00FF21FC" w:rsidP="00520154">
      <w:r>
        <w:separator/>
      </w:r>
    </w:p>
  </w:footnote>
  <w:footnote w:type="continuationSeparator" w:id="0">
    <w:p w14:paraId="56DE8ABE" w14:textId="77777777" w:rsidR="00FF21FC" w:rsidRDefault="00FF21F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B7956"/>
    <w:multiLevelType w:val="hybridMultilevel"/>
    <w:tmpl w:val="5192D8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2"/>
  </w:num>
  <w:num w:numId="2" w16cid:durableId="1244947231">
    <w:abstractNumId w:val="0"/>
  </w:num>
  <w:num w:numId="3" w16cid:durableId="154687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06C2"/>
    <w:rsid w:val="000128A3"/>
    <w:rsid w:val="00016AFA"/>
    <w:rsid w:val="00035F10"/>
    <w:rsid w:val="000411EB"/>
    <w:rsid w:val="00053BA9"/>
    <w:rsid w:val="00060015"/>
    <w:rsid w:val="00061E50"/>
    <w:rsid w:val="000656B9"/>
    <w:rsid w:val="00073F54"/>
    <w:rsid w:val="000748F5"/>
    <w:rsid w:val="0007552B"/>
    <w:rsid w:val="00081010"/>
    <w:rsid w:val="00082C88"/>
    <w:rsid w:val="00083926"/>
    <w:rsid w:val="00086047"/>
    <w:rsid w:val="000969AE"/>
    <w:rsid w:val="000C03E5"/>
    <w:rsid w:val="000C137C"/>
    <w:rsid w:val="000C57EB"/>
    <w:rsid w:val="000C6345"/>
    <w:rsid w:val="000C6CB5"/>
    <w:rsid w:val="000C7A55"/>
    <w:rsid w:val="000C7E96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20459F"/>
    <w:rsid w:val="00206153"/>
    <w:rsid w:val="00212C06"/>
    <w:rsid w:val="0021603D"/>
    <w:rsid w:val="0021670F"/>
    <w:rsid w:val="00230137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71C0"/>
    <w:rsid w:val="002B5E0E"/>
    <w:rsid w:val="002B7770"/>
    <w:rsid w:val="002C1117"/>
    <w:rsid w:val="002C3903"/>
    <w:rsid w:val="002E5A2F"/>
    <w:rsid w:val="002E5F2F"/>
    <w:rsid w:val="003050A3"/>
    <w:rsid w:val="0031308D"/>
    <w:rsid w:val="003145A0"/>
    <w:rsid w:val="00314DF5"/>
    <w:rsid w:val="00324C52"/>
    <w:rsid w:val="00343305"/>
    <w:rsid w:val="00353872"/>
    <w:rsid w:val="00357234"/>
    <w:rsid w:val="00361198"/>
    <w:rsid w:val="003701DA"/>
    <w:rsid w:val="0037364C"/>
    <w:rsid w:val="00382A2E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E6F57"/>
    <w:rsid w:val="003F2CA9"/>
    <w:rsid w:val="003F5F9B"/>
    <w:rsid w:val="00405560"/>
    <w:rsid w:val="00422BDF"/>
    <w:rsid w:val="00452C74"/>
    <w:rsid w:val="00454522"/>
    <w:rsid w:val="004569EC"/>
    <w:rsid w:val="004644F7"/>
    <w:rsid w:val="004701A0"/>
    <w:rsid w:val="00474515"/>
    <w:rsid w:val="00483F12"/>
    <w:rsid w:val="004935C1"/>
    <w:rsid w:val="004A7DD0"/>
    <w:rsid w:val="004B29EA"/>
    <w:rsid w:val="004B3E02"/>
    <w:rsid w:val="004D2A7F"/>
    <w:rsid w:val="004E6719"/>
    <w:rsid w:val="004E780C"/>
    <w:rsid w:val="004F50B1"/>
    <w:rsid w:val="004F7DFB"/>
    <w:rsid w:val="00504BCD"/>
    <w:rsid w:val="00520154"/>
    <w:rsid w:val="005251D1"/>
    <w:rsid w:val="00533AB3"/>
    <w:rsid w:val="00540401"/>
    <w:rsid w:val="00541462"/>
    <w:rsid w:val="0055176A"/>
    <w:rsid w:val="00557A7F"/>
    <w:rsid w:val="005611DC"/>
    <w:rsid w:val="005633DD"/>
    <w:rsid w:val="00570A19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C36"/>
    <w:rsid w:val="005D4528"/>
    <w:rsid w:val="005D65C8"/>
    <w:rsid w:val="005E0BCA"/>
    <w:rsid w:val="005E4B5D"/>
    <w:rsid w:val="0060441F"/>
    <w:rsid w:val="00605121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7259"/>
    <w:rsid w:val="007601DD"/>
    <w:rsid w:val="007659AB"/>
    <w:rsid w:val="00775CA3"/>
    <w:rsid w:val="00780E52"/>
    <w:rsid w:val="00794BD6"/>
    <w:rsid w:val="00797E35"/>
    <w:rsid w:val="007A48AC"/>
    <w:rsid w:val="007B4D6E"/>
    <w:rsid w:val="007D2D65"/>
    <w:rsid w:val="007E710D"/>
    <w:rsid w:val="007F080B"/>
    <w:rsid w:val="007F2EFC"/>
    <w:rsid w:val="007F3159"/>
    <w:rsid w:val="007F7161"/>
    <w:rsid w:val="00803F03"/>
    <w:rsid w:val="00811E7F"/>
    <w:rsid w:val="00813512"/>
    <w:rsid w:val="00814D64"/>
    <w:rsid w:val="00817DCF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A329B"/>
    <w:rsid w:val="008B4399"/>
    <w:rsid w:val="008B619E"/>
    <w:rsid w:val="008B7579"/>
    <w:rsid w:val="008D444D"/>
    <w:rsid w:val="008D7178"/>
    <w:rsid w:val="008E2EAD"/>
    <w:rsid w:val="008E678C"/>
    <w:rsid w:val="00910748"/>
    <w:rsid w:val="00911DDF"/>
    <w:rsid w:val="00921E05"/>
    <w:rsid w:val="0092593E"/>
    <w:rsid w:val="009570A3"/>
    <w:rsid w:val="00957F30"/>
    <w:rsid w:val="00961D86"/>
    <w:rsid w:val="00964EF7"/>
    <w:rsid w:val="00967A90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A00605"/>
    <w:rsid w:val="00A03A29"/>
    <w:rsid w:val="00A1157C"/>
    <w:rsid w:val="00A15727"/>
    <w:rsid w:val="00A22EC4"/>
    <w:rsid w:val="00A3179B"/>
    <w:rsid w:val="00A37B9F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6DDF"/>
    <w:rsid w:val="00A80A09"/>
    <w:rsid w:val="00A8292C"/>
    <w:rsid w:val="00A871C4"/>
    <w:rsid w:val="00A946CA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22454"/>
    <w:rsid w:val="00B2354F"/>
    <w:rsid w:val="00B34A3F"/>
    <w:rsid w:val="00B54C4A"/>
    <w:rsid w:val="00B706ED"/>
    <w:rsid w:val="00B75807"/>
    <w:rsid w:val="00B776A2"/>
    <w:rsid w:val="00B8098C"/>
    <w:rsid w:val="00B852D3"/>
    <w:rsid w:val="00B85A19"/>
    <w:rsid w:val="00B95231"/>
    <w:rsid w:val="00B976FD"/>
    <w:rsid w:val="00BB0AC1"/>
    <w:rsid w:val="00BB2281"/>
    <w:rsid w:val="00BB5475"/>
    <w:rsid w:val="00BC069A"/>
    <w:rsid w:val="00BC25C9"/>
    <w:rsid w:val="00BC7BDB"/>
    <w:rsid w:val="00BC7EBC"/>
    <w:rsid w:val="00BD0049"/>
    <w:rsid w:val="00BD2BBA"/>
    <w:rsid w:val="00BE3577"/>
    <w:rsid w:val="00BE7315"/>
    <w:rsid w:val="00C065B7"/>
    <w:rsid w:val="00C24362"/>
    <w:rsid w:val="00C4129C"/>
    <w:rsid w:val="00C52246"/>
    <w:rsid w:val="00C54D0B"/>
    <w:rsid w:val="00C57247"/>
    <w:rsid w:val="00C62EE8"/>
    <w:rsid w:val="00C71D2D"/>
    <w:rsid w:val="00C82B38"/>
    <w:rsid w:val="00C93C76"/>
    <w:rsid w:val="00CA43C7"/>
    <w:rsid w:val="00CA5122"/>
    <w:rsid w:val="00CB33E8"/>
    <w:rsid w:val="00CC1DE9"/>
    <w:rsid w:val="00CC56E4"/>
    <w:rsid w:val="00CD4124"/>
    <w:rsid w:val="00CD42AD"/>
    <w:rsid w:val="00CE38B8"/>
    <w:rsid w:val="00CF59F0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571E"/>
    <w:rsid w:val="00D963D3"/>
    <w:rsid w:val="00DA2333"/>
    <w:rsid w:val="00DA37A9"/>
    <w:rsid w:val="00DA4317"/>
    <w:rsid w:val="00DA674D"/>
    <w:rsid w:val="00DB335B"/>
    <w:rsid w:val="00DB4B20"/>
    <w:rsid w:val="00DB4E3F"/>
    <w:rsid w:val="00DC201C"/>
    <w:rsid w:val="00DE17D2"/>
    <w:rsid w:val="00DE21C8"/>
    <w:rsid w:val="00DE59A2"/>
    <w:rsid w:val="00DF4CDE"/>
    <w:rsid w:val="00DF4EB8"/>
    <w:rsid w:val="00DF62DB"/>
    <w:rsid w:val="00E05270"/>
    <w:rsid w:val="00E211E2"/>
    <w:rsid w:val="00E22A14"/>
    <w:rsid w:val="00E315B0"/>
    <w:rsid w:val="00E33649"/>
    <w:rsid w:val="00E42B55"/>
    <w:rsid w:val="00E65101"/>
    <w:rsid w:val="00E817C1"/>
    <w:rsid w:val="00E84A4D"/>
    <w:rsid w:val="00E8721D"/>
    <w:rsid w:val="00E87950"/>
    <w:rsid w:val="00E900F2"/>
    <w:rsid w:val="00E964AC"/>
    <w:rsid w:val="00EA1D4F"/>
    <w:rsid w:val="00EB60C6"/>
    <w:rsid w:val="00EB7DAA"/>
    <w:rsid w:val="00EC0954"/>
    <w:rsid w:val="00EC0C53"/>
    <w:rsid w:val="00EC4117"/>
    <w:rsid w:val="00EC4BCB"/>
    <w:rsid w:val="00EE6585"/>
    <w:rsid w:val="00EF762E"/>
    <w:rsid w:val="00F034B3"/>
    <w:rsid w:val="00F1333D"/>
    <w:rsid w:val="00F14AB7"/>
    <w:rsid w:val="00F2315B"/>
    <w:rsid w:val="00F27607"/>
    <w:rsid w:val="00F347BD"/>
    <w:rsid w:val="00F46738"/>
    <w:rsid w:val="00F55962"/>
    <w:rsid w:val="00F6320D"/>
    <w:rsid w:val="00F713D2"/>
    <w:rsid w:val="00F824ED"/>
    <w:rsid w:val="00F976A7"/>
    <w:rsid w:val="00FA2981"/>
    <w:rsid w:val="00FA29C9"/>
    <w:rsid w:val="00FA2BA0"/>
    <w:rsid w:val="00FA5568"/>
    <w:rsid w:val="00FA6D5F"/>
    <w:rsid w:val="00FA7C40"/>
    <w:rsid w:val="00FB21F5"/>
    <w:rsid w:val="00FB3F1F"/>
    <w:rsid w:val="00FB594F"/>
    <w:rsid w:val="00FE77DF"/>
    <w:rsid w:val="00FF21FC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181</cp:revision>
  <dcterms:created xsi:type="dcterms:W3CDTF">2015-06-10T19:26:00Z</dcterms:created>
  <dcterms:modified xsi:type="dcterms:W3CDTF">2024-04-11T10:28:00Z</dcterms:modified>
</cp:coreProperties>
</file>