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571" w:rsidRDefault="00440344" w:rsidP="00996571">
      <w:pPr>
        <w:rPr>
          <w:rFonts w:ascii="Arial" w:hAnsi="Arial" w:cs="Arial"/>
        </w:rPr>
      </w:pPr>
      <w:bookmarkStart w:id="0" w:name="_GoBack"/>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bookmarkEnd w:id="0"/>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9320D"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9022DD">
        <w:rPr>
          <w:rFonts w:ascii="Arial" w:hAnsi="Arial" w:cs="Arial"/>
        </w:rPr>
        <w:t>Μυτιλήνη 23/ 5</w:t>
      </w:r>
      <w:r w:rsidR="00EF372C">
        <w:rPr>
          <w:rFonts w:ascii="Arial" w:hAnsi="Arial" w:cs="Arial"/>
        </w:rPr>
        <w:t>/ 2019</w:t>
      </w:r>
    </w:p>
    <w:p w:rsidR="00996571" w:rsidRPr="0009320D"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9022DD">
        <w:rPr>
          <w:rFonts w:ascii="Arial" w:hAnsi="Arial" w:cs="Arial"/>
        </w:rPr>
        <w:t xml:space="preserve"> 4794</w:t>
      </w:r>
    </w:p>
    <w:p w:rsidR="00996571" w:rsidRPr="00E7092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0F78B3" w:rsidP="00996571">
      <w:r>
        <w:t xml:space="preserve"> </w:t>
      </w:r>
    </w:p>
    <w:p w:rsidR="00996571" w:rsidRPr="000F78B3" w:rsidRDefault="00996571" w:rsidP="000F78B3">
      <w:pPr>
        <w:jc w:val="center"/>
        <w:rPr>
          <w:rFonts w:ascii="Arial" w:hAnsi="Arial" w:cs="Arial"/>
        </w:rPr>
      </w:pPr>
      <w:r w:rsidRPr="00F14858">
        <w:rPr>
          <w:rFonts w:ascii="Arial" w:hAnsi="Arial" w:cs="Arial"/>
          <w:b/>
        </w:rPr>
        <w:t>ΘΕΜΑ:</w:t>
      </w:r>
      <w:r w:rsidR="000F78B3">
        <w:rPr>
          <w:rFonts w:ascii="Arial" w:hAnsi="Arial" w:cs="Arial"/>
          <w:b/>
        </w:rPr>
        <w:t xml:space="preserve"> </w:t>
      </w:r>
      <w:r w:rsidR="000F78B3">
        <w:rPr>
          <w:rFonts w:ascii="Arial" w:hAnsi="Arial" w:cs="Arial"/>
        </w:rPr>
        <w:t>Προμήθεια σωλήνα και υλικών για τις ανάγκες των Εγκαταστάσεων Επεξεργασίας Λυμάτων Λέσβου.</w:t>
      </w:r>
    </w:p>
    <w:p w:rsidR="00996571" w:rsidRPr="0009320D" w:rsidRDefault="00996571" w:rsidP="00996571">
      <w:pPr>
        <w:tabs>
          <w:tab w:val="left" w:pos="7173"/>
        </w:tabs>
      </w:pPr>
    </w:p>
    <w:p w:rsidR="00996571" w:rsidRDefault="00996571" w:rsidP="00996571">
      <w:pPr>
        <w:rPr>
          <w:b/>
        </w:rPr>
      </w:pPr>
    </w:p>
    <w:tbl>
      <w:tblPr>
        <w:tblStyle w:val="a7"/>
        <w:tblW w:w="0" w:type="auto"/>
        <w:tblLayout w:type="fixed"/>
        <w:tblLook w:val="04A0"/>
      </w:tblPr>
      <w:tblGrid>
        <w:gridCol w:w="675"/>
        <w:gridCol w:w="7502"/>
        <w:gridCol w:w="1418"/>
      </w:tblGrid>
      <w:tr w:rsidR="00996571" w:rsidRPr="000F78B3"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0F78B3" w:rsidRDefault="00996571" w:rsidP="005954DF">
            <w:pPr>
              <w:tabs>
                <w:tab w:val="left" w:pos="1386"/>
              </w:tabs>
              <w:jc w:val="center"/>
              <w:rPr>
                <w:rFonts w:ascii="Arial" w:hAnsi="Arial" w:cs="Arial"/>
                <w:b/>
                <w:lang w:eastAsia="en-US"/>
              </w:rPr>
            </w:pPr>
            <w:r w:rsidRPr="000F78B3">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0F78B3" w:rsidRDefault="00996571" w:rsidP="005954DF">
            <w:pPr>
              <w:jc w:val="center"/>
              <w:rPr>
                <w:rFonts w:ascii="Arial" w:hAnsi="Arial" w:cs="Arial"/>
                <w:b/>
                <w:lang w:eastAsia="en-US"/>
              </w:rPr>
            </w:pPr>
            <w:r w:rsidRPr="000F78B3">
              <w:rPr>
                <w:rFonts w:ascii="Arial" w:hAnsi="Arial" w:cs="Arial"/>
                <w:b/>
                <w:lang w:eastAsia="en-US"/>
              </w:rPr>
              <w:t>ΤΕΧΝΙΚΗ ΠΕΡΙΓΡΑΦΗ/ΠΡΟΔΙΑΓΡΑΦ</w:t>
            </w:r>
            <w:r w:rsidRPr="000F78B3">
              <w:rPr>
                <w:rFonts w:ascii="Arial" w:hAnsi="Arial" w:cs="Arial"/>
                <w:b/>
                <w:lang w:val="en-US" w:eastAsia="en-US"/>
              </w:rPr>
              <w:t>E</w:t>
            </w:r>
            <w:r w:rsidRPr="000F78B3">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0F78B3" w:rsidRDefault="00996571" w:rsidP="005954DF">
            <w:pPr>
              <w:jc w:val="center"/>
              <w:rPr>
                <w:rFonts w:ascii="Arial" w:hAnsi="Arial" w:cs="Arial"/>
                <w:b/>
                <w:sz w:val="20"/>
                <w:szCs w:val="20"/>
                <w:lang w:eastAsia="en-US"/>
              </w:rPr>
            </w:pPr>
            <w:r w:rsidRPr="000F78B3">
              <w:rPr>
                <w:rFonts w:ascii="Arial" w:hAnsi="Arial" w:cs="Arial"/>
                <w:b/>
                <w:sz w:val="20"/>
                <w:szCs w:val="20"/>
                <w:lang w:eastAsia="en-US"/>
              </w:rPr>
              <w:t>ΠΟΣΟΤΗΤΑ</w:t>
            </w:r>
          </w:p>
        </w:tc>
      </w:tr>
      <w:tr w:rsidR="00996571" w:rsidRPr="000F78B3" w:rsidTr="000F78B3">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0F78B3" w:rsidRDefault="00996571" w:rsidP="005954DF">
            <w:pPr>
              <w:tabs>
                <w:tab w:val="left" w:pos="1386"/>
              </w:tabs>
              <w:jc w:val="center"/>
              <w:rPr>
                <w:rFonts w:ascii="Arial" w:hAnsi="Arial" w:cs="Arial"/>
                <w:b/>
                <w:lang w:eastAsia="en-US"/>
              </w:rPr>
            </w:pPr>
            <w:r w:rsidRPr="000F78B3">
              <w:rPr>
                <w:rFonts w:ascii="Arial" w:hAnsi="Arial" w:cs="Arial"/>
                <w:b/>
                <w:lang w:eastAsia="en-US"/>
              </w:rPr>
              <w:t>1</w:t>
            </w:r>
          </w:p>
          <w:p w:rsidR="00996571" w:rsidRPr="000F78B3" w:rsidRDefault="00996571"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0F78B3" w:rsidRDefault="000F78B3" w:rsidP="005954DF">
            <w:pPr>
              <w:pStyle w:val="1"/>
              <w:spacing w:before="0" w:beforeAutospacing="0" w:after="0" w:afterAutospacing="0" w:line="288" w:lineRule="atLeast"/>
              <w:jc w:val="both"/>
              <w:rPr>
                <w:rFonts w:ascii="Arial" w:hAnsi="Arial" w:cs="Arial"/>
                <w:b/>
                <w:lang w:eastAsia="en-US"/>
              </w:rPr>
            </w:pPr>
            <w:r w:rsidRPr="000F78B3">
              <w:rPr>
                <w:rFonts w:ascii="Arial" w:hAnsi="Arial" w:cs="Arial"/>
                <w:b/>
                <w:lang w:eastAsia="en-US"/>
              </w:rPr>
              <w:t>Σφυγκτήρες Νο 56-59 Β.Τ.</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0F78B3" w:rsidRDefault="00996571" w:rsidP="005954DF">
            <w:pPr>
              <w:jc w:val="center"/>
              <w:rPr>
                <w:rFonts w:ascii="Arial" w:hAnsi="Arial" w:cs="Arial"/>
                <w:b/>
                <w:lang w:eastAsia="en-US"/>
              </w:rPr>
            </w:pPr>
            <w:r w:rsidRPr="000F78B3">
              <w:rPr>
                <w:rFonts w:ascii="Arial" w:hAnsi="Arial" w:cs="Arial"/>
                <w:b/>
                <w:lang w:eastAsia="en-US"/>
              </w:rPr>
              <w:t>2</w:t>
            </w:r>
            <w:r w:rsidR="000F78B3" w:rsidRPr="000F78B3">
              <w:rPr>
                <w:rFonts w:ascii="Arial" w:hAnsi="Arial" w:cs="Arial"/>
                <w:b/>
                <w:lang w:eastAsia="en-US"/>
              </w:rPr>
              <w:t>0</w:t>
            </w:r>
          </w:p>
        </w:tc>
      </w:tr>
      <w:tr w:rsidR="000F78B3" w:rsidRPr="000F78B3" w:rsidTr="000F78B3">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78B3" w:rsidRPr="000F78B3" w:rsidRDefault="000F78B3" w:rsidP="005954DF">
            <w:pPr>
              <w:tabs>
                <w:tab w:val="left" w:pos="1386"/>
              </w:tabs>
              <w:jc w:val="center"/>
              <w:rPr>
                <w:rFonts w:ascii="Arial" w:hAnsi="Arial" w:cs="Arial"/>
                <w:b/>
                <w:lang w:eastAsia="en-US"/>
              </w:rPr>
            </w:pPr>
            <w:r w:rsidRPr="000F78B3">
              <w:rPr>
                <w:rFonts w:ascii="Arial" w:hAnsi="Arial" w:cs="Arial"/>
                <w:b/>
                <w:lang w:eastAsia="en-US"/>
              </w:rPr>
              <w:t>2</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78B3" w:rsidRPr="000F78B3" w:rsidRDefault="000F78B3" w:rsidP="005954DF">
            <w:pPr>
              <w:pStyle w:val="1"/>
              <w:spacing w:before="0" w:beforeAutospacing="0" w:after="0" w:afterAutospacing="0" w:line="288" w:lineRule="atLeast"/>
              <w:jc w:val="both"/>
              <w:rPr>
                <w:rFonts w:ascii="Arial" w:hAnsi="Arial" w:cs="Arial"/>
                <w:b/>
                <w:lang w:eastAsia="en-US"/>
              </w:rPr>
            </w:pPr>
            <w:r w:rsidRPr="000F78B3">
              <w:rPr>
                <w:rFonts w:ascii="Arial" w:hAnsi="Arial" w:cs="Arial"/>
                <w:b/>
                <w:lang w:eastAsia="en-US"/>
              </w:rPr>
              <w:t>Ρακόρ θηλυκά 2΄΄ ορειχάλκινα για νεροσόλ</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78B3" w:rsidRPr="000F78B3" w:rsidRDefault="000F78B3" w:rsidP="005954DF">
            <w:pPr>
              <w:jc w:val="center"/>
              <w:rPr>
                <w:rFonts w:ascii="Arial" w:hAnsi="Arial" w:cs="Arial"/>
                <w:b/>
                <w:lang w:eastAsia="en-US"/>
              </w:rPr>
            </w:pPr>
            <w:r w:rsidRPr="000F78B3">
              <w:rPr>
                <w:rFonts w:ascii="Arial" w:hAnsi="Arial" w:cs="Arial"/>
                <w:b/>
                <w:lang w:eastAsia="en-US"/>
              </w:rPr>
              <w:t>20</w:t>
            </w:r>
          </w:p>
        </w:tc>
      </w:tr>
      <w:tr w:rsidR="000F78B3" w:rsidRPr="000F78B3" w:rsidTr="000F78B3">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78B3" w:rsidRPr="000F78B3" w:rsidRDefault="000F78B3" w:rsidP="005954DF">
            <w:pPr>
              <w:tabs>
                <w:tab w:val="left" w:pos="1386"/>
              </w:tabs>
              <w:jc w:val="center"/>
              <w:rPr>
                <w:rFonts w:ascii="Arial" w:hAnsi="Arial" w:cs="Arial"/>
                <w:b/>
                <w:lang w:eastAsia="en-US"/>
              </w:rPr>
            </w:pPr>
            <w:r w:rsidRPr="000F78B3">
              <w:rPr>
                <w:rFonts w:ascii="Arial" w:hAnsi="Arial" w:cs="Arial"/>
                <w:b/>
                <w:lang w:eastAsia="en-US"/>
              </w:rPr>
              <w:t>3</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78B3" w:rsidRPr="000F78B3" w:rsidRDefault="000F78B3" w:rsidP="005954DF">
            <w:pPr>
              <w:pStyle w:val="1"/>
              <w:spacing w:before="0" w:beforeAutospacing="0" w:after="0" w:afterAutospacing="0" w:line="288" w:lineRule="atLeast"/>
              <w:jc w:val="both"/>
              <w:rPr>
                <w:rFonts w:ascii="Arial" w:hAnsi="Arial" w:cs="Arial"/>
                <w:b/>
                <w:lang w:eastAsia="en-US"/>
              </w:rPr>
            </w:pPr>
            <w:r w:rsidRPr="000F78B3">
              <w:rPr>
                <w:rFonts w:ascii="Arial" w:hAnsi="Arial" w:cs="Arial"/>
                <w:b/>
                <w:lang w:eastAsia="en-US"/>
              </w:rPr>
              <w:t>Νεροσόλ 2΄΄ πράσινη</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78B3" w:rsidRPr="000F78B3" w:rsidRDefault="000F78B3" w:rsidP="005954DF">
            <w:pPr>
              <w:jc w:val="center"/>
              <w:rPr>
                <w:rFonts w:ascii="Arial" w:hAnsi="Arial" w:cs="Arial"/>
                <w:b/>
                <w:lang w:val="en-US" w:eastAsia="en-US"/>
              </w:rPr>
            </w:pPr>
            <w:r w:rsidRPr="000F78B3">
              <w:rPr>
                <w:rFonts w:ascii="Arial" w:hAnsi="Arial" w:cs="Arial"/>
                <w:b/>
                <w:lang w:eastAsia="en-US"/>
              </w:rPr>
              <w:t>100</w:t>
            </w:r>
            <w:r w:rsidRPr="000F78B3">
              <w:rPr>
                <w:rFonts w:ascii="Arial" w:hAnsi="Arial" w:cs="Arial"/>
                <w:b/>
                <w:lang w:val="en-US" w:eastAsia="en-US"/>
              </w:rPr>
              <w:t>m</w:t>
            </w:r>
          </w:p>
        </w:tc>
      </w:tr>
    </w:tbl>
    <w:p w:rsidR="00996571" w:rsidRDefault="000F78B3" w:rsidP="00996571">
      <w:pPr>
        <w:pStyle w:val="a3"/>
        <w:rPr>
          <w:rFonts w:ascii="Arial" w:hAnsi="Arial" w:cs="Arial"/>
          <w:b/>
        </w:rPr>
      </w:pPr>
      <w:r>
        <w:rPr>
          <w:rFonts w:ascii="Arial" w:hAnsi="Arial" w:cs="Arial"/>
          <w:b/>
        </w:rPr>
        <w:t>ΠΛΗΡ: ΠΡΟΚΟΠΙΟΥ ΗΡΑΚΛΗΣ ΤΗΛ.ΕΠΙΚ.2251046755</w:t>
      </w:r>
    </w:p>
    <w:p w:rsidR="00996571" w:rsidRDefault="00996571"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0F78B3" w:rsidRPr="000F78B3">
        <w:rPr>
          <w:rFonts w:ascii="Arial" w:hAnsi="Arial" w:cs="Arial"/>
        </w:rPr>
        <w:t>Πέμπτη 30-5-2019</w:t>
      </w:r>
      <w:r w:rsidR="000F78B3">
        <w:rPr>
          <w:rFonts w:ascii="Arial" w:hAnsi="Arial" w:cs="Arial"/>
          <w:b/>
        </w:rPr>
        <w:t xml:space="preserve"> </w:t>
      </w:r>
      <w:r w:rsidR="00DA7C51">
        <w:rPr>
          <w:rFonts w:ascii="Arial" w:hAnsi="Arial" w:cs="Arial"/>
        </w:rPr>
        <w:t>και ώρα 14:0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0F78B3">
        <w:rPr>
          <w:rFonts w:ascii="Arial" w:hAnsi="Arial" w:cs="Arial"/>
          <w:b/>
        </w:rPr>
        <w:t xml:space="preserve"> </w:t>
      </w:r>
      <w:r w:rsidR="000F78B3" w:rsidRPr="000F78B3">
        <w:rPr>
          <w:rFonts w:ascii="Arial" w:hAnsi="Arial" w:cs="Arial"/>
        </w:rPr>
        <w:t>Παρασκευή 31-5-2019</w:t>
      </w:r>
      <w:r w:rsidR="000F78B3">
        <w:rPr>
          <w:rFonts w:ascii="Arial" w:hAnsi="Arial" w:cs="Arial"/>
          <w:b/>
        </w:rPr>
        <w:t xml:space="preserve"> </w:t>
      </w:r>
      <w:r w:rsidR="00776E1D">
        <w:rPr>
          <w:rFonts w:ascii="Arial" w:hAnsi="Arial" w:cs="Arial"/>
          <w:b/>
        </w:rPr>
        <w:t xml:space="preserve"> </w:t>
      </w:r>
      <w:r w:rsidRPr="008F6275">
        <w:rPr>
          <w:rFonts w:ascii="Arial" w:hAnsi="Arial" w:cs="Arial"/>
        </w:rPr>
        <w:t>και ώρα 12</w:t>
      </w:r>
      <w:r w:rsidR="0004757E">
        <w:rPr>
          <w:rFonts w:ascii="Arial" w:hAnsi="Arial" w:cs="Arial"/>
        </w:rPr>
        <w:t>:30</w:t>
      </w:r>
    </w:p>
    <w:p w:rsidR="00996571" w:rsidRPr="008F6275" w:rsidRDefault="000F78B3"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t xml:space="preserve">      </w:t>
      </w:r>
      <w:r w:rsidR="00996571" w:rsidRPr="00946276">
        <w:rPr>
          <w:rFonts w:ascii="Arial" w:hAnsi="Arial" w:cs="Arial"/>
          <w:b/>
        </w:rPr>
        <w:t>:</w:t>
      </w:r>
      <w:r>
        <w:rPr>
          <w:rFonts w:ascii="Arial" w:hAnsi="Arial" w:cs="Arial"/>
        </w:rPr>
        <w:t xml:space="preserve"> Δε</w:t>
      </w:r>
      <w:r w:rsidR="00996571" w:rsidRPr="008F6275">
        <w:rPr>
          <w:rFonts w:ascii="Arial" w:hAnsi="Arial" w:cs="Arial"/>
        </w:rPr>
        <w:t>κα</w:t>
      </w:r>
      <w:r>
        <w:rPr>
          <w:rFonts w:ascii="Arial" w:hAnsi="Arial" w:cs="Arial"/>
        </w:rPr>
        <w:t>πέντε (15</w:t>
      </w:r>
      <w:r w:rsidR="00996571" w:rsidRPr="008F6275">
        <w:rPr>
          <w:rFonts w:ascii="Arial" w:hAnsi="Arial" w:cs="Arial"/>
        </w:rPr>
        <w:t xml:space="preserve">) ημέρες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3D3AF7">
        <w:rPr>
          <w:rFonts w:ascii="Arial" w:hAnsi="Arial" w:cs="Arial"/>
          <w:sz w:val="22"/>
          <w:szCs w:val="22"/>
        </w:rPr>
        <w:t xml:space="preserve">                               ΓΙΑ ΤΗ ΔΕΥΑΛ</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3D3AF7">
        <w:rPr>
          <w:rFonts w:ascii="Arial" w:hAnsi="Arial" w:cs="Arial"/>
          <w:sz w:val="22"/>
          <w:szCs w:val="22"/>
        </w:rPr>
        <w:t xml:space="preserve">                            </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3D3AF7">
        <w:rPr>
          <w:rFonts w:ascii="Arial" w:hAnsi="Arial" w:cs="Arial"/>
          <w:sz w:val="22"/>
          <w:szCs w:val="22"/>
        </w:rPr>
        <w:t xml:space="preserve">                             </w:t>
      </w:r>
      <w:r w:rsidR="00996571" w:rsidRPr="00E4682D">
        <w:rPr>
          <w:rFonts w:ascii="Arial" w:hAnsi="Arial" w:cs="Arial"/>
          <w:sz w:val="22"/>
          <w:szCs w:val="22"/>
        </w:rPr>
        <w:t xml:space="preserve">                                                                                               </w:t>
      </w:r>
    </w:p>
    <w:p w:rsidR="00996571" w:rsidRPr="00E4682D" w:rsidRDefault="00996571" w:rsidP="00996571">
      <w:pPr>
        <w:rPr>
          <w:rFonts w:ascii="Arial" w:hAnsi="Arial" w:cs="Arial"/>
          <w:sz w:val="22"/>
          <w:szCs w:val="22"/>
        </w:rPr>
      </w:pPr>
    </w:p>
    <w:p w:rsidR="003B1F72" w:rsidRPr="00E4682D" w:rsidRDefault="003B1F72" w:rsidP="00996571">
      <w:pPr>
        <w:rPr>
          <w:rFonts w:ascii="Arial" w:hAnsi="Arial" w:cs="Arial"/>
          <w:sz w:val="22"/>
          <w:szCs w:val="22"/>
        </w:rPr>
      </w:pPr>
    </w:p>
    <w:p w:rsidR="006E0CE5" w:rsidRPr="00E4682D" w:rsidRDefault="006E0CE5" w:rsidP="006E0CE5">
      <w:pPr>
        <w:rPr>
          <w:rFonts w:ascii="Arial" w:hAnsi="Arial" w:cs="Arial"/>
          <w:b/>
          <w:sz w:val="22"/>
          <w:szCs w:val="22"/>
          <w:u w:val="single"/>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0F78B3" w:rsidRDefault="000F78B3"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lastRenderedPageBreak/>
        <w:t>Όροι προμηθειών GDP</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 </w:t>
      </w:r>
    </w:p>
    <w:p w:rsidR="00E76605" w:rsidRDefault="00E76605" w:rsidP="00E76605">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E76605" w:rsidRDefault="00E76605" w:rsidP="00E76605">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E76605" w:rsidRDefault="00E76605" w:rsidP="00E76605">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Pr>
          <w:rFonts w:ascii="Century Gothic" w:hAnsi="Century Gothic" w:cs="Arial"/>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E76605" w:rsidRDefault="00E76605" w:rsidP="00E76605">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r>
        <w:rPr>
          <w:rFonts w:ascii="Century Gothic" w:hAnsi="Century Gothic" w:cs="Arial"/>
          <w:sz w:val="22"/>
          <w:szCs w:val="22"/>
          <w:lang w:val="en-US"/>
        </w:rPr>
        <w:t>stamatisg</w:t>
      </w:r>
      <w:r>
        <w:rPr>
          <w:rFonts w:ascii="Century Gothic" w:hAnsi="Century Gothic" w:cs="Arial"/>
          <w:sz w:val="22"/>
          <w:szCs w:val="22"/>
        </w:rPr>
        <w:t>@</w:t>
      </w:r>
      <w:r>
        <w:rPr>
          <w:rFonts w:ascii="Century Gothic" w:hAnsi="Century Gothic" w:cs="Arial"/>
          <w:sz w:val="22"/>
          <w:szCs w:val="22"/>
          <w:lang w:val="en-US"/>
        </w:rPr>
        <w:t>pelagus</w:t>
      </w:r>
      <w:r>
        <w:rPr>
          <w:rFonts w:ascii="Century Gothic" w:hAnsi="Century Gothic" w:cs="Arial"/>
          <w:sz w:val="22"/>
          <w:szCs w:val="22"/>
        </w:rPr>
        <w:t>.</w:t>
      </w:r>
      <w:r>
        <w:rPr>
          <w:rFonts w:ascii="Century Gothic" w:hAnsi="Century Gothic" w:cs="Arial"/>
          <w:sz w:val="22"/>
          <w:szCs w:val="22"/>
          <w:lang w:val="en-US"/>
        </w:rPr>
        <w:t>gr</w:t>
      </w:r>
    </w:p>
    <w:p w:rsidR="00E76605" w:rsidRDefault="00E76605" w:rsidP="00E76605">
      <w:pPr>
        <w:rPr>
          <w:rFonts w:ascii="Arial" w:hAnsi="Arial" w:cs="Arial"/>
          <w:b/>
          <w:sz w:val="22"/>
          <w:szCs w:val="22"/>
          <w:u w:val="single"/>
        </w:rPr>
      </w:pPr>
    </w:p>
    <w:p w:rsidR="00E76605" w:rsidRDefault="00E76605" w:rsidP="00E76605">
      <w:pPr>
        <w:rPr>
          <w:rFonts w:ascii="Arial" w:hAnsi="Arial" w:cs="Arial"/>
          <w:b/>
          <w:sz w:val="22"/>
          <w:szCs w:val="22"/>
          <w:u w:val="single"/>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r>
        <w:rPr>
          <w:rFonts w:ascii="Arial" w:hAnsi="Arial" w:cs="Arial"/>
          <w:sz w:val="22"/>
          <w:szCs w:val="22"/>
        </w:rPr>
        <w:t xml:space="preserve">                                                                       </w:t>
      </w:r>
      <w:r w:rsidR="003D3AF7">
        <w:rPr>
          <w:rFonts w:ascii="Arial" w:hAnsi="Arial" w:cs="Arial"/>
          <w:sz w:val="22"/>
          <w:szCs w:val="22"/>
        </w:rPr>
        <w:t xml:space="preserve">          ΓΙΑ ΤΗ ΔΕΥΑΛ</w:t>
      </w:r>
    </w:p>
    <w:p w:rsidR="00E76605" w:rsidRDefault="00E76605" w:rsidP="00E76605">
      <w:pPr>
        <w:rPr>
          <w:rFonts w:ascii="Arial" w:hAnsi="Arial" w:cs="Arial"/>
          <w:sz w:val="22"/>
          <w:szCs w:val="22"/>
        </w:rPr>
      </w:pPr>
      <w:r>
        <w:rPr>
          <w:rFonts w:ascii="Arial" w:hAnsi="Arial" w:cs="Arial"/>
          <w:sz w:val="22"/>
          <w:szCs w:val="22"/>
        </w:rPr>
        <w:t xml:space="preserve">                                                                    </w:t>
      </w:r>
      <w:r w:rsidR="003D3AF7">
        <w:rPr>
          <w:rFonts w:ascii="Arial" w:hAnsi="Arial" w:cs="Arial"/>
          <w:sz w:val="22"/>
          <w:szCs w:val="22"/>
        </w:rPr>
        <w:t xml:space="preserve">                   </w:t>
      </w:r>
    </w:p>
    <w:p w:rsidR="00E76605" w:rsidRDefault="00E76605" w:rsidP="00E76605">
      <w:pPr>
        <w:tabs>
          <w:tab w:val="left" w:pos="7241"/>
        </w:tabs>
        <w:rPr>
          <w:rFonts w:ascii="Arial" w:hAnsi="Arial" w:cs="Arial"/>
          <w:sz w:val="22"/>
          <w:szCs w:val="22"/>
        </w:rPr>
      </w:pPr>
      <w:r>
        <w:rPr>
          <w:rFonts w:ascii="Arial" w:hAnsi="Arial" w:cs="Arial"/>
          <w:sz w:val="22"/>
          <w:szCs w:val="22"/>
        </w:rPr>
        <w:tab/>
      </w:r>
    </w:p>
    <w:p w:rsidR="00E76605" w:rsidRDefault="00E76605"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E76605" w:rsidRDefault="00E76605" w:rsidP="00E76605">
      <w:pPr>
        <w:rPr>
          <w:rFonts w:ascii="Arial" w:hAnsi="Arial" w:cs="Arial"/>
          <w:sz w:val="22"/>
          <w:szCs w:val="22"/>
        </w:rPr>
      </w:pPr>
      <w:r>
        <w:rPr>
          <w:rFonts w:ascii="Arial" w:hAnsi="Arial" w:cs="Arial"/>
          <w:sz w:val="22"/>
          <w:szCs w:val="22"/>
        </w:rPr>
        <w:t xml:space="preserve">                                                                        </w:t>
      </w:r>
      <w:r w:rsidR="003D3AF7">
        <w:rPr>
          <w:rFonts w:ascii="Arial" w:hAnsi="Arial" w:cs="Arial"/>
          <w:sz w:val="22"/>
          <w:szCs w:val="22"/>
        </w:rPr>
        <w:t xml:space="preserve">          </w:t>
      </w:r>
      <w:r>
        <w:rPr>
          <w:rFonts w:ascii="Arial" w:hAnsi="Arial" w:cs="Arial"/>
          <w:sz w:val="22"/>
          <w:szCs w:val="22"/>
        </w:rPr>
        <w:t xml:space="preserve">                                                                                                </w:t>
      </w:r>
    </w:p>
    <w:p w:rsidR="00E76605" w:rsidRDefault="00E76605" w:rsidP="00E76605">
      <w:pPr>
        <w:jc w:val="center"/>
        <w:rPr>
          <w:rFonts w:ascii="Arial" w:hAnsi="Arial" w:cs="Arial"/>
          <w:sz w:val="22"/>
          <w:szCs w:val="22"/>
        </w:rPr>
      </w:pPr>
    </w:p>
    <w:p w:rsidR="00E4682D" w:rsidRPr="00E4682D" w:rsidRDefault="00E4682D">
      <w:pPr>
        <w:rPr>
          <w:rFonts w:ascii="Arial" w:hAnsi="Arial" w:cs="Arial"/>
          <w:b/>
          <w:sz w:val="22"/>
          <w:szCs w:val="22"/>
          <w:u w:val="single"/>
        </w:rPr>
      </w:pPr>
    </w:p>
    <w:sectPr w:rsidR="00E4682D" w:rsidRPr="00E4682D" w:rsidSect="002330C1">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565B" w:rsidRDefault="0042565B" w:rsidP="00520154">
      <w:r>
        <w:separator/>
      </w:r>
    </w:p>
  </w:endnote>
  <w:endnote w:type="continuationSeparator" w:id="1">
    <w:p w:rsidR="0042565B" w:rsidRDefault="0042565B" w:rsidP="005201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565B" w:rsidRDefault="0042565B" w:rsidP="00520154">
      <w:r>
        <w:separator/>
      </w:r>
    </w:p>
  </w:footnote>
  <w:footnote w:type="continuationSeparator" w:id="1">
    <w:p w:rsidR="0042565B" w:rsidRDefault="0042565B" w:rsidP="005201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38914"/>
  </w:hdrShapeDefaults>
  <w:footnotePr>
    <w:footnote w:id="0"/>
    <w:footnote w:id="1"/>
  </w:footnotePr>
  <w:endnotePr>
    <w:endnote w:id="0"/>
    <w:endnote w:id="1"/>
  </w:endnotePr>
  <w:compat/>
  <w:rsids>
    <w:rsidRoot w:val="00520154"/>
    <w:rsid w:val="00011F55"/>
    <w:rsid w:val="000124A1"/>
    <w:rsid w:val="0001696F"/>
    <w:rsid w:val="00025B61"/>
    <w:rsid w:val="0004757E"/>
    <w:rsid w:val="00057197"/>
    <w:rsid w:val="00082C88"/>
    <w:rsid w:val="000D07F3"/>
    <w:rsid w:val="000D5CC0"/>
    <w:rsid w:val="000F1797"/>
    <w:rsid w:val="000F368E"/>
    <w:rsid w:val="000F78B3"/>
    <w:rsid w:val="00145F73"/>
    <w:rsid w:val="00146E92"/>
    <w:rsid w:val="00147936"/>
    <w:rsid w:val="00161596"/>
    <w:rsid w:val="0017441F"/>
    <w:rsid w:val="001758E2"/>
    <w:rsid w:val="001B285F"/>
    <w:rsid w:val="0020139F"/>
    <w:rsid w:val="00230FE1"/>
    <w:rsid w:val="002330C1"/>
    <w:rsid w:val="00242BB5"/>
    <w:rsid w:val="0025559E"/>
    <w:rsid w:val="002773A2"/>
    <w:rsid w:val="00280CB8"/>
    <w:rsid w:val="00294A17"/>
    <w:rsid w:val="002E37D3"/>
    <w:rsid w:val="002F12D6"/>
    <w:rsid w:val="00323E41"/>
    <w:rsid w:val="00333590"/>
    <w:rsid w:val="003B1F72"/>
    <w:rsid w:val="003C56BE"/>
    <w:rsid w:val="003D3AF7"/>
    <w:rsid w:val="003D7B27"/>
    <w:rsid w:val="003E3A7C"/>
    <w:rsid w:val="0042565B"/>
    <w:rsid w:val="00440344"/>
    <w:rsid w:val="00444601"/>
    <w:rsid w:val="0045311A"/>
    <w:rsid w:val="00462F2C"/>
    <w:rsid w:val="00463959"/>
    <w:rsid w:val="00480D72"/>
    <w:rsid w:val="004A2F5E"/>
    <w:rsid w:val="004A4106"/>
    <w:rsid w:val="004D108F"/>
    <w:rsid w:val="004F4235"/>
    <w:rsid w:val="005118D9"/>
    <w:rsid w:val="00520154"/>
    <w:rsid w:val="0055400F"/>
    <w:rsid w:val="00554214"/>
    <w:rsid w:val="00561EA5"/>
    <w:rsid w:val="005A1654"/>
    <w:rsid w:val="005D1802"/>
    <w:rsid w:val="00603BF6"/>
    <w:rsid w:val="0062294F"/>
    <w:rsid w:val="0062371C"/>
    <w:rsid w:val="006447D0"/>
    <w:rsid w:val="00650853"/>
    <w:rsid w:val="00654A7B"/>
    <w:rsid w:val="00662FFF"/>
    <w:rsid w:val="0069681B"/>
    <w:rsid w:val="006D4FB7"/>
    <w:rsid w:val="006E0CE5"/>
    <w:rsid w:val="006E5356"/>
    <w:rsid w:val="00750166"/>
    <w:rsid w:val="00776E1D"/>
    <w:rsid w:val="00794BD6"/>
    <w:rsid w:val="007A48AC"/>
    <w:rsid w:val="007C133C"/>
    <w:rsid w:val="007C4A4C"/>
    <w:rsid w:val="007D2D3D"/>
    <w:rsid w:val="007D5B07"/>
    <w:rsid w:val="007E0787"/>
    <w:rsid w:val="007E1431"/>
    <w:rsid w:val="00803108"/>
    <w:rsid w:val="00813512"/>
    <w:rsid w:val="008501B6"/>
    <w:rsid w:val="0086590D"/>
    <w:rsid w:val="0088146D"/>
    <w:rsid w:val="008978DC"/>
    <w:rsid w:val="008B60DA"/>
    <w:rsid w:val="008B7579"/>
    <w:rsid w:val="009022DD"/>
    <w:rsid w:val="00907A18"/>
    <w:rsid w:val="009313E3"/>
    <w:rsid w:val="00964B21"/>
    <w:rsid w:val="0097770F"/>
    <w:rsid w:val="00983510"/>
    <w:rsid w:val="00996571"/>
    <w:rsid w:val="009A22A0"/>
    <w:rsid w:val="009B211C"/>
    <w:rsid w:val="009C51F7"/>
    <w:rsid w:val="009D4AF3"/>
    <w:rsid w:val="009E4797"/>
    <w:rsid w:val="00A37569"/>
    <w:rsid w:val="00A53B3D"/>
    <w:rsid w:val="00A75364"/>
    <w:rsid w:val="00A77E76"/>
    <w:rsid w:val="00A86D8B"/>
    <w:rsid w:val="00AB5E19"/>
    <w:rsid w:val="00AE3219"/>
    <w:rsid w:val="00AE3D14"/>
    <w:rsid w:val="00B50E3C"/>
    <w:rsid w:val="00B626EC"/>
    <w:rsid w:val="00B6309A"/>
    <w:rsid w:val="00BA069B"/>
    <w:rsid w:val="00BB4697"/>
    <w:rsid w:val="00BC4A4D"/>
    <w:rsid w:val="00BD0CDF"/>
    <w:rsid w:val="00BD52EA"/>
    <w:rsid w:val="00BE4ED6"/>
    <w:rsid w:val="00C21775"/>
    <w:rsid w:val="00C2665F"/>
    <w:rsid w:val="00C31E38"/>
    <w:rsid w:val="00C72667"/>
    <w:rsid w:val="00C93C76"/>
    <w:rsid w:val="00C9699A"/>
    <w:rsid w:val="00CC3E11"/>
    <w:rsid w:val="00CD180F"/>
    <w:rsid w:val="00D02223"/>
    <w:rsid w:val="00D22A96"/>
    <w:rsid w:val="00D55891"/>
    <w:rsid w:val="00D92533"/>
    <w:rsid w:val="00DA00BB"/>
    <w:rsid w:val="00DA7C51"/>
    <w:rsid w:val="00DD2FF2"/>
    <w:rsid w:val="00DE17D2"/>
    <w:rsid w:val="00DE2C63"/>
    <w:rsid w:val="00E13BD2"/>
    <w:rsid w:val="00E45AE0"/>
    <w:rsid w:val="00E4682D"/>
    <w:rsid w:val="00E500CE"/>
    <w:rsid w:val="00E62CD5"/>
    <w:rsid w:val="00E70922"/>
    <w:rsid w:val="00E753BB"/>
    <w:rsid w:val="00E75E94"/>
    <w:rsid w:val="00E76605"/>
    <w:rsid w:val="00E8712C"/>
    <w:rsid w:val="00E93C70"/>
    <w:rsid w:val="00EB5CD4"/>
    <w:rsid w:val="00EB7DAA"/>
    <w:rsid w:val="00EE45A4"/>
    <w:rsid w:val="00EF372C"/>
    <w:rsid w:val="00F10F58"/>
    <w:rsid w:val="00F2315B"/>
    <w:rsid w:val="00F70B23"/>
    <w:rsid w:val="00FA29C9"/>
    <w:rsid w:val="00FA5361"/>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158769118">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B58BD-D2AD-47B9-A650-F7FD99AF2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3</Pages>
  <Words>996</Words>
  <Characters>5383</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Χρήστης των Windows</cp:lastModifiedBy>
  <cp:revision>44</cp:revision>
  <dcterms:created xsi:type="dcterms:W3CDTF">2015-06-10T17:55:00Z</dcterms:created>
  <dcterms:modified xsi:type="dcterms:W3CDTF">2019-05-23T08:33:00Z</dcterms:modified>
</cp:coreProperties>
</file>