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94394D" w:rsidRDefault="00996571" w:rsidP="00996571">
      <w:pPr>
        <w:rPr>
          <w:rFonts w:ascii="Arial" w:hAnsi="Arial" w:cs="Arial"/>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9722B6">
        <w:rPr>
          <w:rFonts w:ascii="Arial" w:hAnsi="Arial" w:cs="Arial"/>
        </w:rPr>
        <w:t xml:space="preserve">Μυτιλήνη </w:t>
      </w:r>
      <w:r w:rsidR="00502F9C">
        <w:rPr>
          <w:rFonts w:ascii="Arial" w:hAnsi="Arial" w:cs="Arial"/>
        </w:rPr>
        <w:t>27</w:t>
      </w:r>
      <w:r w:rsidR="009722B6">
        <w:rPr>
          <w:rFonts w:ascii="Arial" w:hAnsi="Arial" w:cs="Arial"/>
        </w:rPr>
        <w:t>/</w:t>
      </w:r>
      <w:r w:rsidR="009F09CC">
        <w:rPr>
          <w:rFonts w:ascii="Arial" w:hAnsi="Arial" w:cs="Arial"/>
        </w:rPr>
        <w:t>12</w:t>
      </w:r>
      <w:r w:rsidR="009949EA">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009F09CC">
        <w:rPr>
          <w:rFonts w:ascii="Arial" w:hAnsi="Arial" w:cs="Arial"/>
          <w:sz w:val="22"/>
          <w:szCs w:val="22"/>
        </w:rPr>
        <w:t xml:space="preserve"> (εσωτ. 121)</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9722B6">
        <w:rPr>
          <w:rFonts w:ascii="Arial" w:hAnsi="Arial" w:cs="Arial"/>
        </w:rPr>
        <w:t xml:space="preserve"> </w:t>
      </w:r>
      <w:r w:rsidR="00713556">
        <w:rPr>
          <w:rFonts w:ascii="Arial" w:hAnsi="Arial" w:cs="Arial"/>
        </w:rPr>
        <w:t>14122</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960156" w:rsidRDefault="00996571" w:rsidP="00502F9C">
      <w:pPr>
        <w:jc w:val="center"/>
        <w:rPr>
          <w:rFonts w:ascii="Arial" w:hAnsi="Arial" w:cs="Arial"/>
        </w:rPr>
      </w:pPr>
      <w:r w:rsidRPr="00F14858">
        <w:rPr>
          <w:rFonts w:ascii="Arial" w:hAnsi="Arial" w:cs="Arial"/>
          <w:b/>
        </w:rPr>
        <w:t>ΘΕΜΑ:</w:t>
      </w:r>
      <w:r w:rsidR="00960156">
        <w:rPr>
          <w:rFonts w:ascii="Arial" w:hAnsi="Arial" w:cs="Arial"/>
          <w:b/>
        </w:rPr>
        <w:t xml:space="preserve"> </w:t>
      </w:r>
      <w:r w:rsidR="00960156">
        <w:rPr>
          <w:rFonts w:ascii="Arial" w:hAnsi="Arial" w:cs="Arial"/>
        </w:rPr>
        <w:t>Προ</w:t>
      </w:r>
      <w:r w:rsidR="009D7E7C">
        <w:rPr>
          <w:rFonts w:ascii="Arial" w:hAnsi="Arial" w:cs="Arial"/>
        </w:rPr>
        <w:t>μήθει</w:t>
      </w:r>
      <w:r w:rsidR="00E261DB">
        <w:rPr>
          <w:rFonts w:ascii="Arial" w:hAnsi="Arial" w:cs="Arial"/>
        </w:rPr>
        <w:t xml:space="preserve">α </w:t>
      </w:r>
      <w:r w:rsidR="00502F9C">
        <w:rPr>
          <w:rFonts w:ascii="Arial" w:hAnsi="Arial" w:cs="Arial"/>
        </w:rPr>
        <w:t xml:space="preserve">υποβρύχιου αντλητικού συγκροτήματος </w:t>
      </w:r>
      <w:r w:rsidR="0087796C">
        <w:rPr>
          <w:rFonts w:ascii="Arial" w:hAnsi="Arial" w:cs="Arial"/>
        </w:rPr>
        <w:t>για τ</w:t>
      </w:r>
      <w:r w:rsidR="00502F9C">
        <w:rPr>
          <w:rFonts w:ascii="Arial" w:hAnsi="Arial" w:cs="Arial"/>
        </w:rPr>
        <w:t>ο αντλιοστάσιο λυμάτων Νέων Κυδωνιών.</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D45102"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lang w:eastAsia="en-US"/>
              </w:rPr>
            </w:pPr>
            <w:r w:rsidRPr="00D45102">
              <w:rPr>
                <w:rFonts w:ascii="Arial" w:hAnsi="Arial" w:cs="Arial"/>
                <w:b/>
                <w:lang w:eastAsia="en-US"/>
              </w:rPr>
              <w:t>ΤΕΧΝΙΚΗ ΠΕΡΙΓΡΑΦΗ/ΠΡΟΔΙΑΓΡΑΦ</w:t>
            </w:r>
            <w:r w:rsidRPr="00D45102">
              <w:rPr>
                <w:rFonts w:ascii="Arial" w:hAnsi="Arial" w:cs="Arial"/>
                <w:b/>
                <w:lang w:val="en-US" w:eastAsia="en-US"/>
              </w:rPr>
              <w:t>E</w:t>
            </w:r>
            <w:r w:rsidRPr="00D45102">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sz w:val="20"/>
                <w:szCs w:val="20"/>
                <w:lang w:eastAsia="en-US"/>
              </w:rPr>
            </w:pPr>
            <w:r w:rsidRPr="00D45102">
              <w:rPr>
                <w:rFonts w:ascii="Arial" w:hAnsi="Arial" w:cs="Arial"/>
                <w:b/>
                <w:sz w:val="20"/>
                <w:szCs w:val="20"/>
                <w:lang w:eastAsia="en-US"/>
              </w:rPr>
              <w:t>ΠΟΣΟΤΗΤΑ</w:t>
            </w:r>
          </w:p>
        </w:tc>
      </w:tr>
      <w:tr w:rsidR="00996571" w:rsidRPr="00D45102" w:rsidTr="001E3095">
        <w:trPr>
          <w:trHeight w:val="71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1</w:t>
            </w:r>
          </w:p>
          <w:p w:rsidR="00996571" w:rsidRPr="00D45102"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2FC" w:rsidRPr="001B190F" w:rsidRDefault="00E261DB" w:rsidP="005954DF">
            <w:pPr>
              <w:pStyle w:val="1"/>
              <w:spacing w:before="0" w:beforeAutospacing="0" w:after="0" w:afterAutospacing="0" w:line="288" w:lineRule="atLeast"/>
              <w:jc w:val="both"/>
              <w:rPr>
                <w:rFonts w:ascii="Arial" w:hAnsi="Arial" w:cs="Arial"/>
                <w:b/>
                <w:lang w:eastAsia="en-US"/>
              </w:rPr>
            </w:pPr>
            <w:r w:rsidRPr="00332A69">
              <w:rPr>
                <w:rFonts w:ascii="Arial" w:hAnsi="Arial" w:cs="Arial"/>
                <w:b/>
                <w:lang w:eastAsia="en-US"/>
              </w:rPr>
              <w:t>Προμήθεια</w:t>
            </w:r>
            <w:r w:rsidR="003F7621">
              <w:rPr>
                <w:rFonts w:ascii="Arial" w:hAnsi="Arial" w:cs="Arial"/>
                <w:b/>
                <w:lang w:eastAsia="en-US"/>
              </w:rPr>
              <w:t xml:space="preserve"> </w:t>
            </w:r>
            <w:r w:rsidRPr="00332A69">
              <w:rPr>
                <w:rFonts w:ascii="Arial" w:hAnsi="Arial" w:cs="Arial"/>
                <w:b/>
                <w:lang w:eastAsia="en-US"/>
              </w:rPr>
              <w:t>αντλητικού συγκροτήμα</w:t>
            </w:r>
            <w:r>
              <w:rPr>
                <w:rFonts w:ascii="Arial" w:hAnsi="Arial" w:cs="Arial"/>
                <w:b/>
                <w:lang w:eastAsia="en-US"/>
              </w:rPr>
              <w:t>τος</w:t>
            </w:r>
            <w:r w:rsidR="008D70DE">
              <w:rPr>
                <w:rFonts w:ascii="Arial" w:hAnsi="Arial" w:cs="Arial"/>
                <w:b/>
                <w:lang w:eastAsia="en-US"/>
              </w:rPr>
              <w:t xml:space="preserve"> </w:t>
            </w:r>
            <w:r>
              <w:rPr>
                <w:rFonts w:ascii="Arial" w:hAnsi="Arial" w:cs="Arial"/>
                <w:b/>
                <w:lang w:eastAsia="en-US"/>
              </w:rPr>
              <w:t xml:space="preserve">αποτελούμενο από </w:t>
            </w:r>
            <w:r w:rsidR="003F7621">
              <w:rPr>
                <w:rFonts w:ascii="Arial" w:hAnsi="Arial" w:cs="Arial"/>
                <w:b/>
                <w:lang w:eastAsia="en-US"/>
              </w:rPr>
              <w:t xml:space="preserve">κινητήρα </w:t>
            </w:r>
            <w:r w:rsidR="00502F9C">
              <w:rPr>
                <w:rFonts w:ascii="Arial" w:hAnsi="Arial" w:cs="Arial"/>
                <w:b/>
                <w:lang w:eastAsia="en-US"/>
              </w:rPr>
              <w:t xml:space="preserve">5,5 </w:t>
            </w:r>
            <w:r w:rsidR="003F7621">
              <w:rPr>
                <w:rFonts w:ascii="Arial" w:hAnsi="Arial" w:cs="Arial"/>
                <w:b/>
                <w:lang w:val="en-US" w:eastAsia="en-US"/>
              </w:rPr>
              <w:t>HP</w:t>
            </w:r>
            <w:r w:rsidR="0087796C">
              <w:rPr>
                <w:rFonts w:ascii="Arial" w:hAnsi="Arial" w:cs="Arial"/>
                <w:b/>
                <w:lang w:eastAsia="en-US"/>
              </w:rPr>
              <w:t xml:space="preserve"> και</w:t>
            </w:r>
            <w:r w:rsidR="003F7621">
              <w:rPr>
                <w:rFonts w:ascii="Arial" w:hAnsi="Arial" w:cs="Arial"/>
                <w:b/>
                <w:lang w:eastAsia="en-US"/>
              </w:rPr>
              <w:t xml:space="preserve"> υποβρύχια αντλία </w:t>
            </w:r>
            <w:r w:rsidR="00502F9C">
              <w:rPr>
                <w:rFonts w:ascii="Arial" w:hAnsi="Arial" w:cs="Arial"/>
                <w:b/>
                <w:lang w:eastAsia="en-US"/>
              </w:rPr>
              <w:t xml:space="preserve">με σημεία καμπύλης στα 50 </w:t>
            </w:r>
            <w:r w:rsidR="00502F9C">
              <w:rPr>
                <w:rFonts w:ascii="Arial" w:hAnsi="Arial" w:cs="Arial"/>
                <w:b/>
                <w:lang w:val="en-US" w:eastAsia="en-US"/>
              </w:rPr>
              <w:t>m</w:t>
            </w:r>
            <w:r w:rsidR="00502F9C">
              <w:rPr>
                <w:rFonts w:ascii="Arial" w:hAnsi="Arial" w:cs="Arial"/>
                <w:b/>
                <w:lang w:eastAsia="en-US"/>
              </w:rPr>
              <w:t xml:space="preserve"> </w:t>
            </w:r>
            <w:r w:rsidR="0087796C">
              <w:rPr>
                <w:rFonts w:ascii="Arial" w:hAnsi="Arial" w:cs="Arial"/>
                <w:b/>
                <w:lang w:eastAsia="en-US"/>
              </w:rPr>
              <w:t xml:space="preserve">μανομετρικό </w:t>
            </w:r>
            <w:r w:rsidR="00502F9C">
              <w:rPr>
                <w:rFonts w:ascii="Arial" w:hAnsi="Arial" w:cs="Arial"/>
                <w:b/>
                <w:lang w:eastAsia="en-US"/>
              </w:rPr>
              <w:t xml:space="preserve">και να καταθλίβει 8-10 </w:t>
            </w:r>
            <w:r w:rsidR="00502F9C">
              <w:rPr>
                <w:rFonts w:ascii="Arial" w:hAnsi="Arial" w:cs="Arial"/>
                <w:b/>
                <w:lang w:val="en-US" w:eastAsia="en-US"/>
              </w:rPr>
              <w:t>m</w:t>
            </w:r>
            <w:r w:rsidR="00502F9C" w:rsidRPr="00502F9C">
              <w:rPr>
                <w:rFonts w:ascii="Arial" w:hAnsi="Arial" w:cs="Arial"/>
                <w:b/>
                <w:lang w:eastAsia="en-US"/>
              </w:rPr>
              <w:t>^3/</w:t>
            </w:r>
            <w:r w:rsidR="00502F9C">
              <w:rPr>
                <w:rFonts w:ascii="Arial" w:hAnsi="Arial" w:cs="Arial"/>
                <w:b/>
                <w:lang w:val="en-US" w:eastAsia="en-US"/>
              </w:rPr>
              <w:t>h</w:t>
            </w:r>
            <w:r w:rsidR="001B190F">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D7E7C" w:rsidRDefault="009D4E82" w:rsidP="009D7E7C">
            <w:pPr>
              <w:jc w:val="center"/>
              <w:rPr>
                <w:rFonts w:ascii="Arial" w:hAnsi="Arial" w:cs="Arial"/>
                <w:b/>
                <w:lang w:eastAsia="en-US"/>
              </w:rPr>
            </w:pPr>
            <w:r>
              <w:rPr>
                <w:rFonts w:ascii="Arial" w:hAnsi="Arial" w:cs="Arial"/>
                <w:b/>
                <w:lang w:eastAsia="en-US"/>
              </w:rPr>
              <w:t>1</w:t>
            </w:r>
          </w:p>
        </w:tc>
      </w:tr>
    </w:tbl>
    <w:p w:rsidR="00996571" w:rsidRDefault="009722B6" w:rsidP="00996571">
      <w:pPr>
        <w:pStyle w:val="a3"/>
        <w:rPr>
          <w:rFonts w:ascii="Arial" w:hAnsi="Arial" w:cs="Arial"/>
          <w:b/>
        </w:rPr>
      </w:pPr>
      <w:r>
        <w:rPr>
          <w:rFonts w:ascii="Arial" w:hAnsi="Arial" w:cs="Arial"/>
          <w:b/>
        </w:rPr>
        <w:t xml:space="preserve">ΠΛΗΡ: </w:t>
      </w:r>
      <w:r w:rsidR="003F7621">
        <w:rPr>
          <w:rFonts w:ascii="Arial" w:hAnsi="Arial" w:cs="Arial"/>
          <w:b/>
        </w:rPr>
        <w:t>ΚΕΡΕΒΑΝΙΑΝ ΓΡΗΓΟΡΗΣ</w:t>
      </w:r>
      <w:r>
        <w:rPr>
          <w:rFonts w:ascii="Arial" w:hAnsi="Arial" w:cs="Arial"/>
          <w:b/>
        </w:rPr>
        <w:t xml:space="preserve"> ΤΗΛ.ΕΠΙΚ.</w:t>
      </w:r>
      <w:r w:rsidRPr="009722B6">
        <w:t xml:space="preserve"> </w:t>
      </w:r>
      <w:r w:rsidR="003F7621">
        <w:rPr>
          <w:rFonts w:ascii="Arial" w:hAnsi="Arial" w:cs="Arial"/>
          <w:b/>
        </w:rPr>
        <w:t>2251024</w:t>
      </w:r>
      <w:r w:rsidR="003362ED">
        <w:rPr>
          <w:rFonts w:ascii="Arial" w:hAnsi="Arial" w:cs="Arial"/>
          <w:b/>
        </w:rPr>
        <w:t>444 (εσωτ. 116)</w:t>
      </w:r>
    </w:p>
    <w:p w:rsidR="00996571" w:rsidRDefault="00996571" w:rsidP="00996571">
      <w:pPr>
        <w:pStyle w:val="a3"/>
        <w:rPr>
          <w:rFonts w:ascii="Arial" w:hAnsi="Arial" w:cs="Arial"/>
          <w:b/>
        </w:rPr>
      </w:pPr>
    </w:p>
    <w:p w:rsidR="00D372FC" w:rsidRDefault="00D372FC"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502F9C">
        <w:rPr>
          <w:rFonts w:ascii="Arial" w:hAnsi="Arial" w:cs="Arial"/>
        </w:rPr>
        <w:t>Παρασκευή 27</w:t>
      </w:r>
      <w:r w:rsidR="00677D26" w:rsidRPr="00677D26">
        <w:rPr>
          <w:rFonts w:ascii="Arial" w:hAnsi="Arial" w:cs="Arial"/>
        </w:rPr>
        <w:t>-</w:t>
      </w:r>
      <w:r w:rsidR="00D372FC">
        <w:rPr>
          <w:rFonts w:ascii="Arial" w:hAnsi="Arial" w:cs="Arial"/>
        </w:rPr>
        <w:t>12</w:t>
      </w:r>
      <w:r w:rsidR="00677D26" w:rsidRPr="00677D26">
        <w:rPr>
          <w:rFonts w:ascii="Arial" w:hAnsi="Arial" w:cs="Arial"/>
        </w:rPr>
        <w:t>-2019</w:t>
      </w:r>
      <w:r w:rsidR="00677D26">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502F9C">
        <w:rPr>
          <w:rFonts w:ascii="Arial" w:hAnsi="Arial" w:cs="Arial"/>
        </w:rPr>
        <w:t>Παρασκευή 27</w:t>
      </w:r>
      <w:r w:rsidR="00677D26" w:rsidRPr="00677D26">
        <w:rPr>
          <w:rFonts w:ascii="Arial" w:hAnsi="Arial" w:cs="Arial"/>
        </w:rPr>
        <w:t>-</w:t>
      </w:r>
      <w:r w:rsidR="00D372FC">
        <w:rPr>
          <w:rFonts w:ascii="Arial" w:hAnsi="Arial" w:cs="Arial"/>
        </w:rPr>
        <w:t>12</w:t>
      </w:r>
      <w:r w:rsidR="00677D26" w:rsidRPr="00677D26">
        <w:rPr>
          <w:rFonts w:ascii="Arial" w:hAnsi="Arial" w:cs="Arial"/>
        </w:rPr>
        <w:t>-2019</w:t>
      </w:r>
      <w:r w:rsidR="00677D26">
        <w:rPr>
          <w:rFonts w:ascii="Arial" w:hAnsi="Arial" w:cs="Arial"/>
          <w:b/>
        </w:rPr>
        <w:t xml:space="preserve"> </w:t>
      </w:r>
      <w:r w:rsidRPr="008F6275">
        <w:rPr>
          <w:rFonts w:ascii="Arial" w:hAnsi="Arial" w:cs="Arial"/>
        </w:rPr>
        <w:t xml:space="preserve">και ώρα </w:t>
      </w:r>
      <w:r w:rsidR="00493556">
        <w:rPr>
          <w:rFonts w:ascii="Arial" w:hAnsi="Arial" w:cs="Arial"/>
        </w:rPr>
        <w:t>14:</w:t>
      </w:r>
      <w:r w:rsidR="00502F9C">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502F9C">
        <w:rPr>
          <w:rFonts w:ascii="Arial" w:hAnsi="Arial" w:cs="Arial"/>
        </w:rPr>
        <w:t>Δύο</w:t>
      </w:r>
      <w:r w:rsidR="00D02B7A">
        <w:rPr>
          <w:rFonts w:ascii="Arial" w:hAnsi="Arial" w:cs="Arial"/>
        </w:rPr>
        <w:t xml:space="preserve"> </w:t>
      </w:r>
      <w:r w:rsidRPr="008F6275">
        <w:rPr>
          <w:rFonts w:ascii="Arial" w:hAnsi="Arial" w:cs="Arial"/>
        </w:rPr>
        <w:t>(</w:t>
      </w:r>
      <w:r w:rsidR="00502F9C">
        <w:rPr>
          <w:rFonts w:ascii="Arial" w:hAnsi="Arial" w:cs="Arial"/>
        </w:rPr>
        <w:t>2</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502F9C" w:rsidRDefault="00057197" w:rsidP="00502F9C">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r w:rsidR="00502F9C">
        <w:rPr>
          <w:rFonts w:ascii="Arial" w:hAnsi="Arial" w:cs="Arial"/>
          <w:sz w:val="22"/>
          <w:szCs w:val="22"/>
        </w:rPr>
        <w:t xml:space="preserve"> </w:t>
      </w:r>
    </w:p>
    <w:p w:rsidR="00996571" w:rsidRPr="00E4682D" w:rsidRDefault="00502F9C" w:rsidP="00502F9C">
      <w:pPr>
        <w:rPr>
          <w:rFonts w:ascii="Arial" w:hAnsi="Arial" w:cs="Arial"/>
          <w:sz w:val="22"/>
          <w:szCs w:val="22"/>
        </w:rPr>
      </w:pPr>
      <w:r>
        <w:rPr>
          <w:rFonts w:ascii="Arial" w:hAnsi="Arial" w:cs="Arial"/>
          <w:sz w:val="22"/>
          <w:szCs w:val="22"/>
        </w:rPr>
        <w:t xml:space="preserve">                                                                                                  κ.α.α</w:t>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w:t>
      </w:r>
      <w:r w:rsidR="0087796C">
        <w:rPr>
          <w:rFonts w:ascii="Arial" w:hAnsi="Arial" w:cs="Arial"/>
          <w:sz w:val="22"/>
          <w:szCs w:val="22"/>
        </w:rPr>
        <w:t>ΜΑΡΑΜΠΟΥΤΗΣ ΜΙΧΑΛΗΣ</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4682D" w:rsidRDefault="00E4682D">
      <w:pPr>
        <w:rPr>
          <w:rFonts w:ascii="Arial" w:hAnsi="Arial" w:cs="Arial"/>
          <w:b/>
          <w:sz w:val="22"/>
          <w:szCs w:val="22"/>
          <w:u w:val="single"/>
        </w:rPr>
      </w:pPr>
    </w:p>
    <w:p w:rsidR="00D372FC" w:rsidRDefault="00D372FC">
      <w:pPr>
        <w:rPr>
          <w:rFonts w:ascii="Arial" w:hAnsi="Arial" w:cs="Arial"/>
          <w:b/>
          <w:sz w:val="22"/>
          <w:szCs w:val="22"/>
          <w:u w:val="single"/>
        </w:rPr>
      </w:pPr>
    </w:p>
    <w:p w:rsidR="00D372FC" w:rsidRDefault="00D372FC">
      <w:pPr>
        <w:rPr>
          <w:rFonts w:ascii="Arial" w:hAnsi="Arial" w:cs="Arial"/>
          <w:b/>
          <w:sz w:val="22"/>
          <w:szCs w:val="22"/>
          <w:u w:val="single"/>
        </w:rPr>
      </w:pPr>
    </w:p>
    <w:p w:rsidR="00D372FC" w:rsidRDefault="00D372FC">
      <w:pPr>
        <w:rPr>
          <w:rFonts w:ascii="Arial" w:hAnsi="Arial" w:cs="Arial"/>
          <w:b/>
          <w:sz w:val="22"/>
          <w:szCs w:val="22"/>
          <w:u w:val="single"/>
        </w:rPr>
      </w:pPr>
    </w:p>
    <w:p w:rsidR="00D372FC" w:rsidRDefault="00D372FC">
      <w:pPr>
        <w:rPr>
          <w:rFonts w:ascii="Arial" w:hAnsi="Arial" w:cs="Arial"/>
          <w:b/>
          <w:sz w:val="22"/>
          <w:szCs w:val="22"/>
          <w:u w:val="single"/>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lastRenderedPageBreak/>
        <w:t>Όροι προμηθειών GDP</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Όροι ανάθεσης  και εκτέλεσης συμβάσεων έργων προμήθειας προϊόντων, παροχής υπηρεσιών και εκπόνησης μελετών</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Επεξεργασία των δεδομένων προσωπικού χαρακτήρα των αιτούντων</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1. Έγγραφα που αφορούν στην προσωπική κατάσταση των εκπροσώπων των αιτούντων  (π.χ. Αριθμός</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Δελτίου Ταυτότητας, αντίγραφο Ποινικού Μητρώου,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2. Έγγραφα που αναφέρουν οικονομικά στοιχεία φυσικών προσώπων (π.χ. ΑΦΜ)</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3. Βιογραφικά σημειώματα που περιλαμβάνουν προσωπικά στοιχεία (ονοματεπώνυμο,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πατρώνυμο, ημερομηνία γέννησης, κατοικία, στοιχεία επικοινωνίας, οικογενειακή</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κατάσταση, εκπαίδευση, προϋπηρεσία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4. Λοιπά στοιχεία με δεδομένα προσωπικού χαρακτήρα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sidRPr="00D372FC">
        <w:rPr>
          <w:rFonts w:ascii="Century Gothic" w:hAnsi="Century Gothic" w:cs="Arial"/>
          <w:bCs/>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Για περισσότερες πληροφορίες κάθε ενδιαφερόμενος/αιτών/συμμετέχων μπορεί να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απευθύνεται στον Υπεύθυνο Προστασίας Δεδομένων της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Ονοματεπώνυμο: Σταμάτης Γιαννάκης</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Ταχ. Δ/νση: Αναπαύσεως 10, Μυτιλήνη, 81132,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Τηλέφωνο επικοινωνίας : 22510 44992</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Email: stamatisg@pelagus.gr</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Η ΓΕΝΙΚΗ ΔΙΕΥΘΥΝΤΡΙΑ</w:t>
      </w:r>
    </w:p>
    <w:p w:rsid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ΤΗΣ ΔΕΥΑΛ</w:t>
      </w:r>
    </w:p>
    <w:p w:rsidR="00502F9C" w:rsidRPr="00D372FC" w:rsidRDefault="00502F9C" w:rsidP="00D372FC">
      <w:pPr>
        <w:rPr>
          <w:rFonts w:ascii="Century Gothic" w:hAnsi="Century Gothic" w:cs="Arial"/>
          <w:bCs/>
          <w:sz w:val="22"/>
          <w:szCs w:val="22"/>
        </w:rPr>
      </w:pPr>
      <w:r>
        <w:rPr>
          <w:rFonts w:ascii="Century Gothic" w:hAnsi="Century Gothic" w:cs="Arial"/>
          <w:bCs/>
          <w:sz w:val="22"/>
          <w:szCs w:val="22"/>
        </w:rPr>
        <w:t xml:space="preserve">                                                                                                 κ.α.α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w:t>
      </w:r>
      <w:r w:rsidR="0087796C">
        <w:rPr>
          <w:rFonts w:ascii="Century Gothic" w:hAnsi="Century Gothic" w:cs="Arial"/>
          <w:bCs/>
          <w:sz w:val="22"/>
          <w:szCs w:val="22"/>
        </w:rPr>
        <w:t>ΜΑΡΑΜΠΟΥΤΗΣ ΜΙΧΑΛΗΣ</w:t>
      </w:r>
      <w:r w:rsidRPr="00D372FC">
        <w:rPr>
          <w:rFonts w:ascii="Century Gothic" w:hAnsi="Century Gothic" w:cs="Arial"/>
          <w:bCs/>
          <w:sz w:val="22"/>
          <w:szCs w:val="22"/>
        </w:rPr>
        <w:t xml:space="preserve">                                                                                                  </w:t>
      </w:r>
    </w:p>
    <w:p w:rsidR="00D372FC" w:rsidRPr="00D372FC" w:rsidRDefault="00D372FC">
      <w:pPr>
        <w:rPr>
          <w:rFonts w:ascii="Arial" w:hAnsi="Arial" w:cs="Arial"/>
          <w:bCs/>
          <w:sz w:val="22"/>
          <w:szCs w:val="22"/>
          <w:u w:val="single"/>
        </w:rPr>
      </w:pPr>
    </w:p>
    <w:sectPr w:rsidR="00D372FC" w:rsidRPr="00D372FC"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174" w:rsidRDefault="00847174" w:rsidP="00520154">
      <w:r>
        <w:separator/>
      </w:r>
    </w:p>
  </w:endnote>
  <w:endnote w:type="continuationSeparator" w:id="0">
    <w:p w:rsidR="00847174" w:rsidRDefault="00847174"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174" w:rsidRDefault="00847174" w:rsidP="00520154">
      <w:r>
        <w:separator/>
      </w:r>
    </w:p>
  </w:footnote>
  <w:footnote w:type="continuationSeparator" w:id="0">
    <w:p w:rsidR="00847174" w:rsidRDefault="00847174"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945AA"/>
    <w:rsid w:val="000A774C"/>
    <w:rsid w:val="000D07F3"/>
    <w:rsid w:val="000D5CC0"/>
    <w:rsid w:val="000E2685"/>
    <w:rsid w:val="000E4E3E"/>
    <w:rsid w:val="000F368E"/>
    <w:rsid w:val="00145F73"/>
    <w:rsid w:val="00146E92"/>
    <w:rsid w:val="00147936"/>
    <w:rsid w:val="00161596"/>
    <w:rsid w:val="0017441F"/>
    <w:rsid w:val="001758E2"/>
    <w:rsid w:val="001B190F"/>
    <w:rsid w:val="001B285F"/>
    <w:rsid w:val="001E3095"/>
    <w:rsid w:val="001E3DB0"/>
    <w:rsid w:val="0020139F"/>
    <w:rsid w:val="002162F5"/>
    <w:rsid w:val="00230FE1"/>
    <w:rsid w:val="00232663"/>
    <w:rsid w:val="002330C1"/>
    <w:rsid w:val="00242BB5"/>
    <w:rsid w:val="002620A4"/>
    <w:rsid w:val="002773A2"/>
    <w:rsid w:val="00280CB8"/>
    <w:rsid w:val="00294A17"/>
    <w:rsid w:val="002E37D3"/>
    <w:rsid w:val="002F12D6"/>
    <w:rsid w:val="00323E41"/>
    <w:rsid w:val="00333590"/>
    <w:rsid w:val="003362ED"/>
    <w:rsid w:val="003371C3"/>
    <w:rsid w:val="003844CB"/>
    <w:rsid w:val="003B1F72"/>
    <w:rsid w:val="003C56BE"/>
    <w:rsid w:val="003D7B27"/>
    <w:rsid w:val="003E3A7C"/>
    <w:rsid w:val="003F7621"/>
    <w:rsid w:val="00440344"/>
    <w:rsid w:val="00444601"/>
    <w:rsid w:val="0045311A"/>
    <w:rsid w:val="00463959"/>
    <w:rsid w:val="00480D72"/>
    <w:rsid w:val="00493556"/>
    <w:rsid w:val="0049643A"/>
    <w:rsid w:val="004A2F5E"/>
    <w:rsid w:val="004A4106"/>
    <w:rsid w:val="004D108F"/>
    <w:rsid w:val="004F4235"/>
    <w:rsid w:val="00502F9C"/>
    <w:rsid w:val="0050495D"/>
    <w:rsid w:val="005118D9"/>
    <w:rsid w:val="00520154"/>
    <w:rsid w:val="0055400F"/>
    <w:rsid w:val="00554214"/>
    <w:rsid w:val="00561EA5"/>
    <w:rsid w:val="005A1654"/>
    <w:rsid w:val="005D1802"/>
    <w:rsid w:val="005E0BCE"/>
    <w:rsid w:val="00603BF6"/>
    <w:rsid w:val="0062294F"/>
    <w:rsid w:val="0062371C"/>
    <w:rsid w:val="006242EE"/>
    <w:rsid w:val="006447D0"/>
    <w:rsid w:val="00650853"/>
    <w:rsid w:val="00654A7B"/>
    <w:rsid w:val="00677D26"/>
    <w:rsid w:val="0069681B"/>
    <w:rsid w:val="006D082B"/>
    <w:rsid w:val="006D4FB7"/>
    <w:rsid w:val="006E0CE5"/>
    <w:rsid w:val="006E5356"/>
    <w:rsid w:val="00713556"/>
    <w:rsid w:val="00726243"/>
    <w:rsid w:val="00727D65"/>
    <w:rsid w:val="00750166"/>
    <w:rsid w:val="00776E1D"/>
    <w:rsid w:val="00794BD6"/>
    <w:rsid w:val="007A48AC"/>
    <w:rsid w:val="007C133C"/>
    <w:rsid w:val="007C4A4C"/>
    <w:rsid w:val="007D2D3D"/>
    <w:rsid w:val="007D5B07"/>
    <w:rsid w:val="007E0787"/>
    <w:rsid w:val="007E1431"/>
    <w:rsid w:val="00803108"/>
    <w:rsid w:val="00813512"/>
    <w:rsid w:val="00847174"/>
    <w:rsid w:val="008501B6"/>
    <w:rsid w:val="00852903"/>
    <w:rsid w:val="0086590D"/>
    <w:rsid w:val="0087796C"/>
    <w:rsid w:val="0088146D"/>
    <w:rsid w:val="008978DC"/>
    <w:rsid w:val="008B60DA"/>
    <w:rsid w:val="008B7579"/>
    <w:rsid w:val="008D70DE"/>
    <w:rsid w:val="00907A18"/>
    <w:rsid w:val="009313E3"/>
    <w:rsid w:val="0094394D"/>
    <w:rsid w:val="00960156"/>
    <w:rsid w:val="009722B6"/>
    <w:rsid w:val="0097770F"/>
    <w:rsid w:val="00983510"/>
    <w:rsid w:val="009949EA"/>
    <w:rsid w:val="00996571"/>
    <w:rsid w:val="009B211C"/>
    <w:rsid w:val="009C51F7"/>
    <w:rsid w:val="009D4AF3"/>
    <w:rsid w:val="009D4E82"/>
    <w:rsid w:val="009D7E7C"/>
    <w:rsid w:val="009E4797"/>
    <w:rsid w:val="009F09CC"/>
    <w:rsid w:val="00A250F6"/>
    <w:rsid w:val="00A37569"/>
    <w:rsid w:val="00A53B3D"/>
    <w:rsid w:val="00A75364"/>
    <w:rsid w:val="00A77E76"/>
    <w:rsid w:val="00A86D8B"/>
    <w:rsid w:val="00AB5E19"/>
    <w:rsid w:val="00AE3219"/>
    <w:rsid w:val="00AE3D14"/>
    <w:rsid w:val="00B3239B"/>
    <w:rsid w:val="00B50E3C"/>
    <w:rsid w:val="00B626EC"/>
    <w:rsid w:val="00B6309A"/>
    <w:rsid w:val="00BA069B"/>
    <w:rsid w:val="00BB316E"/>
    <w:rsid w:val="00BB4697"/>
    <w:rsid w:val="00BC4A4D"/>
    <w:rsid w:val="00BC55C7"/>
    <w:rsid w:val="00BD0CDF"/>
    <w:rsid w:val="00BD52EA"/>
    <w:rsid w:val="00BE4ED6"/>
    <w:rsid w:val="00C21775"/>
    <w:rsid w:val="00C2665F"/>
    <w:rsid w:val="00C31E38"/>
    <w:rsid w:val="00C52EEF"/>
    <w:rsid w:val="00C57DDE"/>
    <w:rsid w:val="00C72667"/>
    <w:rsid w:val="00C93C76"/>
    <w:rsid w:val="00CC3E11"/>
    <w:rsid w:val="00CD180F"/>
    <w:rsid w:val="00CD264C"/>
    <w:rsid w:val="00CF7464"/>
    <w:rsid w:val="00D02223"/>
    <w:rsid w:val="00D02B7A"/>
    <w:rsid w:val="00D22A96"/>
    <w:rsid w:val="00D372FC"/>
    <w:rsid w:val="00D45102"/>
    <w:rsid w:val="00D55891"/>
    <w:rsid w:val="00D92533"/>
    <w:rsid w:val="00DA00BB"/>
    <w:rsid w:val="00DA7C51"/>
    <w:rsid w:val="00DD2FF2"/>
    <w:rsid w:val="00DD6E78"/>
    <w:rsid w:val="00DE17D2"/>
    <w:rsid w:val="00DE2C63"/>
    <w:rsid w:val="00E02DE2"/>
    <w:rsid w:val="00E13BD2"/>
    <w:rsid w:val="00E261DB"/>
    <w:rsid w:val="00E31F0E"/>
    <w:rsid w:val="00E45AE0"/>
    <w:rsid w:val="00E4682D"/>
    <w:rsid w:val="00E500CE"/>
    <w:rsid w:val="00E62CD5"/>
    <w:rsid w:val="00E70922"/>
    <w:rsid w:val="00E753BB"/>
    <w:rsid w:val="00E75E94"/>
    <w:rsid w:val="00E93C70"/>
    <w:rsid w:val="00EB16C6"/>
    <w:rsid w:val="00EB5CD4"/>
    <w:rsid w:val="00EB7DAA"/>
    <w:rsid w:val="00EE2B43"/>
    <w:rsid w:val="00EE45A4"/>
    <w:rsid w:val="00F10F58"/>
    <w:rsid w:val="00F14EFE"/>
    <w:rsid w:val="00F2315B"/>
    <w:rsid w:val="00F432ED"/>
    <w:rsid w:val="00F5728F"/>
    <w:rsid w:val="00F821DB"/>
    <w:rsid w:val="00FA29C9"/>
    <w:rsid w:val="00FA5361"/>
    <w:rsid w:val="00FD0BD7"/>
    <w:rsid w:val="00FD58FF"/>
    <w:rsid w:val="00FE042D"/>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3B1B6"/>
  <w15:docId w15:val="{093723A7-6D46-4D91-8455-8E33EDC1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9A947-1D6B-40AA-B2D6-3A074A41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Pages>
  <Words>1053</Words>
  <Characters>5692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62</cp:revision>
  <dcterms:created xsi:type="dcterms:W3CDTF">2015-06-10T17:55:00Z</dcterms:created>
  <dcterms:modified xsi:type="dcterms:W3CDTF">2019-12-27T11:05:00Z</dcterms:modified>
</cp:coreProperties>
</file>