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AC" w:rsidRDefault="004B73AC" w:rsidP="00EE0CC4">
      <w:pPr>
        <w:ind w:right="84"/>
        <w:rPr>
          <w:rFonts w:ascii="Century Gothic" w:hAnsi="Century Gothic" w:cs="Century Gothic"/>
          <w:b/>
          <w:bCs/>
        </w:rPr>
      </w:pPr>
      <w:bookmarkStart w:id="0" w:name="_GoBack"/>
      <w:bookmarkEnd w:id="0"/>
    </w:p>
    <w:p w:rsidR="004B73AC" w:rsidRDefault="004B73AC" w:rsidP="00EE0CC4">
      <w:pPr>
        <w:ind w:right="84"/>
        <w:rPr>
          <w:rFonts w:ascii="Century Gothic" w:hAnsi="Century Gothic" w:cs="Century Gothic"/>
          <w:b/>
          <w:bCs/>
        </w:rPr>
      </w:pPr>
    </w:p>
    <w:p w:rsidR="004B73AC" w:rsidRDefault="004B73AC" w:rsidP="00EE0CC4">
      <w:pPr>
        <w:ind w:right="84"/>
        <w:rPr>
          <w:rFonts w:ascii="Century Gothic" w:hAnsi="Century Gothic" w:cs="Century Gothic"/>
          <w:b/>
          <w:bCs/>
        </w:rPr>
      </w:pPr>
    </w:p>
    <w:p w:rsidR="004B73AC" w:rsidRDefault="004B73AC" w:rsidP="00EE0CC4">
      <w:pPr>
        <w:ind w:right="84"/>
        <w:rPr>
          <w:rFonts w:ascii="Century Gothic" w:hAnsi="Century Gothic" w:cs="Century Gothic"/>
          <w:b/>
          <w:bCs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390"/>
        <w:gridCol w:w="1584"/>
        <w:gridCol w:w="2322"/>
      </w:tblGrid>
      <w:tr w:rsidR="004B73AC" w:rsidRPr="006A5730">
        <w:tc>
          <w:tcPr>
            <w:tcW w:w="4390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 xml:space="preserve">  Δ</w:t>
            </w:r>
            <w:r w:rsidRPr="006A5730">
              <w:rPr>
                <w:rFonts w:ascii="Century Gothic" w:hAnsi="Century Gothic" w:cs="Century Gothic"/>
              </w:rPr>
              <w:t>ημοτική</w:t>
            </w:r>
            <w:r w:rsidRPr="006A5730">
              <w:rPr>
                <w:rFonts w:ascii="Century Gothic" w:hAnsi="Century Gothic" w:cs="Century Gothic"/>
                <w:b/>
                <w:bCs/>
              </w:rPr>
              <w:t xml:space="preserve"> Ε</w:t>
            </w:r>
            <w:r w:rsidRPr="006A5730">
              <w:rPr>
                <w:rFonts w:ascii="Century Gothic" w:hAnsi="Century Gothic" w:cs="Century Gothic"/>
              </w:rPr>
              <w:t xml:space="preserve">πιχείρηση 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Ύ</w:t>
            </w:r>
            <w:r w:rsidRPr="006A5730">
              <w:rPr>
                <w:rFonts w:ascii="Century Gothic" w:hAnsi="Century Gothic" w:cs="Century Gothic"/>
              </w:rPr>
              <w:t>δρευσης</w:t>
            </w:r>
            <w:r w:rsidRPr="006A5730">
              <w:rPr>
                <w:rFonts w:ascii="Century Gothic" w:hAnsi="Century Gothic" w:cs="Century Gothic"/>
                <w:b/>
                <w:bCs/>
              </w:rPr>
              <w:t xml:space="preserve"> – Α</w:t>
            </w:r>
            <w:r w:rsidRPr="006A5730">
              <w:rPr>
                <w:rFonts w:ascii="Century Gothic" w:hAnsi="Century Gothic" w:cs="Century Gothic"/>
              </w:rPr>
              <w:t xml:space="preserve">ποχέτευσης 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 xml:space="preserve">            Λ</w:t>
            </w:r>
            <w:r w:rsidRPr="006A5730">
              <w:rPr>
                <w:rFonts w:ascii="Century Gothic" w:hAnsi="Century Gothic" w:cs="Century Gothic"/>
              </w:rPr>
              <w:t xml:space="preserve">έσβου </w:t>
            </w:r>
          </w:p>
        </w:tc>
        <w:tc>
          <w:tcPr>
            <w:tcW w:w="1584" w:type="dxa"/>
            <w:vMerge w:val="restart"/>
          </w:tcPr>
          <w:p w:rsidR="004B73AC" w:rsidRPr="006A5730" w:rsidRDefault="004B73AC" w:rsidP="006A5730">
            <w:pPr>
              <w:spacing w:after="0" w:line="240" w:lineRule="auto"/>
              <w:ind w:right="84"/>
              <w:jc w:val="right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 xml:space="preserve">        Προμήθεια:</w:t>
            </w:r>
          </w:p>
        </w:tc>
        <w:tc>
          <w:tcPr>
            <w:tcW w:w="2322" w:type="dxa"/>
            <w:vMerge w:val="restart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 xml:space="preserve"> «Προμήθεια αντλιών για την αποκατάσταση λειτουργίας των αντλιοστασίων Ε.Ε.Λ. Πλωμαρίου»</w:t>
            </w:r>
          </w:p>
        </w:tc>
      </w:tr>
      <w:tr w:rsidR="004B73AC" w:rsidRPr="006A5730">
        <w:tc>
          <w:tcPr>
            <w:tcW w:w="4390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>ΔΙΕΥΘΥΝΣΗ ΠΕΡΙΒΑΛΛΟΝΤΟΣ</w:t>
            </w:r>
          </w:p>
        </w:tc>
        <w:tc>
          <w:tcPr>
            <w:tcW w:w="1584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2322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B73AC" w:rsidRPr="006A5730">
        <w:tc>
          <w:tcPr>
            <w:tcW w:w="4390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>Ταχ. Δ/νση:      Ελ. Βενιζέλου</w:t>
            </w:r>
          </w:p>
        </w:tc>
        <w:tc>
          <w:tcPr>
            <w:tcW w:w="1584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2322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B73AC" w:rsidRPr="006A5730">
        <w:tc>
          <w:tcPr>
            <w:tcW w:w="4390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 xml:space="preserve">Ταχ. Κωδ:      </w:t>
            </w:r>
            <w:r w:rsidRPr="006A5730">
              <w:rPr>
                <w:rFonts w:ascii="Century Gothic" w:hAnsi="Century Gothic" w:cs="Century Gothic"/>
                <w:lang w:val="en-US"/>
              </w:rPr>
              <w:t xml:space="preserve">    </w:t>
            </w:r>
            <w:r w:rsidRPr="006A5730">
              <w:rPr>
                <w:rFonts w:ascii="Century Gothic" w:hAnsi="Century Gothic" w:cs="Century Gothic"/>
              </w:rPr>
              <w:t>81132</w:t>
            </w:r>
          </w:p>
        </w:tc>
        <w:tc>
          <w:tcPr>
            <w:tcW w:w="1584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2322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B73AC" w:rsidRPr="006A5730">
        <w:tc>
          <w:tcPr>
            <w:tcW w:w="4390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>Πληροφορίες:  Βασίλαρος Σωτήρης</w:t>
            </w:r>
          </w:p>
        </w:tc>
        <w:tc>
          <w:tcPr>
            <w:tcW w:w="1584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2322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B73AC" w:rsidRPr="006A5730">
        <w:tc>
          <w:tcPr>
            <w:tcW w:w="4390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>Τηλέφωνο:        2251046755</w:t>
            </w:r>
          </w:p>
        </w:tc>
        <w:tc>
          <w:tcPr>
            <w:tcW w:w="1584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2322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B73AC" w:rsidRPr="006A5730">
        <w:tc>
          <w:tcPr>
            <w:tcW w:w="4390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  <w:lang w:val="en-US"/>
              </w:rPr>
              <w:t>Fax:</w:t>
            </w:r>
            <w:r w:rsidRPr="006A5730">
              <w:rPr>
                <w:rFonts w:ascii="Century Gothic" w:hAnsi="Century Gothic" w:cs="Century Gothic"/>
              </w:rPr>
              <w:t xml:space="preserve">                   2251040121</w:t>
            </w:r>
          </w:p>
        </w:tc>
        <w:tc>
          <w:tcPr>
            <w:tcW w:w="1584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2322" w:type="dxa"/>
            <w:vMerge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B73AC" w:rsidRPr="006A5730">
        <w:tc>
          <w:tcPr>
            <w:tcW w:w="4390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lang w:val="en-US"/>
              </w:rPr>
            </w:pPr>
            <w:r w:rsidRPr="006A5730">
              <w:rPr>
                <w:rFonts w:ascii="Century Gothic" w:hAnsi="Century Gothic" w:cs="Century Gothic"/>
                <w:lang w:val="en-US"/>
              </w:rPr>
              <w:t>E-mail:               protokolo@deyamyt.gr</w:t>
            </w:r>
          </w:p>
        </w:tc>
        <w:tc>
          <w:tcPr>
            <w:tcW w:w="1584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jc w:val="right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 xml:space="preserve">Ενδεικτικός Προϋπολογισμός </w:t>
            </w:r>
          </w:p>
        </w:tc>
        <w:tc>
          <w:tcPr>
            <w:tcW w:w="2322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5.100,00 €</w:t>
            </w:r>
          </w:p>
        </w:tc>
      </w:tr>
    </w:tbl>
    <w:p w:rsidR="004B73AC" w:rsidRPr="00F952D0" w:rsidRDefault="004B73AC" w:rsidP="00EE0CC4">
      <w:pPr>
        <w:ind w:right="84"/>
        <w:rPr>
          <w:rFonts w:ascii="Century Gothic" w:hAnsi="Century Gothic" w:cs="Century Gothic"/>
          <w:b/>
          <w:bCs/>
          <w:lang w:val="en-US"/>
        </w:rPr>
      </w:pPr>
    </w:p>
    <w:p w:rsidR="004B73AC" w:rsidRDefault="004B73AC" w:rsidP="00D471EE">
      <w:pPr>
        <w:spacing w:after="0"/>
        <w:ind w:right="84"/>
        <w:rPr>
          <w:rFonts w:ascii="Century Gothic" w:hAnsi="Century Gothic" w:cs="Century Gothic"/>
          <w:sz w:val="20"/>
          <w:szCs w:val="20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-35.6pt;margin-top:-285.8pt;width:95.85pt;height:82.2pt;z-index:251658240;visibility:visible;mso-position-vertical-relative:line" o:allowoverlap="f">
            <v:imagedata r:id="rId7" o:title=""/>
            <w10:wrap type="square"/>
          </v:shape>
        </w:pict>
      </w:r>
      <w:r w:rsidRPr="00D471EE">
        <w:rPr>
          <w:rFonts w:ascii="Century Gothic" w:hAnsi="Century Gothic" w:cs="Century Gothic"/>
          <w:b/>
          <w:bCs/>
          <w:sz w:val="20"/>
          <w:szCs w:val="20"/>
        </w:rPr>
        <w:t>Θέμα:</w:t>
      </w:r>
      <w:r w:rsidRPr="00A874AF">
        <w:t xml:space="preserve"> </w:t>
      </w:r>
      <w:r w:rsidRPr="00A874AF">
        <w:rPr>
          <w:rFonts w:ascii="Century Gothic" w:hAnsi="Century Gothic" w:cs="Century Gothic"/>
          <w:sz w:val="20"/>
          <w:szCs w:val="20"/>
        </w:rPr>
        <w:t>Προμήθεια αντλιών για την αποκατάσταση λειτουργίας των αντλιοστασίων Ε.Ε.Λ. Πλωμαρίου</w:t>
      </w:r>
      <w:r w:rsidRPr="00D471EE">
        <w:rPr>
          <w:rFonts w:ascii="Century Gothic" w:hAnsi="Century Gothic" w:cs="Century Gothic"/>
          <w:sz w:val="20"/>
          <w:szCs w:val="20"/>
        </w:rPr>
        <w:t xml:space="preserve"> </w:t>
      </w:r>
    </w:p>
    <w:p w:rsidR="004B73AC" w:rsidRPr="00D471EE" w:rsidRDefault="004B73AC" w:rsidP="00D471EE">
      <w:pPr>
        <w:spacing w:after="0"/>
        <w:ind w:right="84"/>
        <w:rPr>
          <w:rFonts w:ascii="Century Gothic" w:hAnsi="Century Gothic" w:cs="Century Gothic"/>
          <w:sz w:val="20"/>
          <w:szCs w:val="20"/>
        </w:rPr>
      </w:pPr>
    </w:p>
    <w:p w:rsidR="004B73AC" w:rsidRPr="00D471EE" w:rsidRDefault="004B73AC" w:rsidP="00D471EE">
      <w:pPr>
        <w:spacing w:after="0"/>
        <w:ind w:right="84"/>
        <w:rPr>
          <w:rFonts w:ascii="Century Gothic" w:hAnsi="Century Gothic" w:cs="Century Gothic"/>
          <w:sz w:val="20"/>
          <w:szCs w:val="20"/>
        </w:rPr>
      </w:pPr>
      <w:r w:rsidRPr="00D471EE">
        <w:rPr>
          <w:rFonts w:ascii="Century Gothic" w:hAnsi="Century Gothic" w:cs="Century Gothic"/>
          <w:sz w:val="20"/>
          <w:szCs w:val="20"/>
        </w:rPr>
        <w:t>Έχοντας υπόψη ότι:</w:t>
      </w:r>
    </w:p>
    <w:p w:rsidR="004B73AC" w:rsidRDefault="004B73AC" w:rsidP="002231D5">
      <w:pPr>
        <w:pStyle w:val="ListParagraph"/>
        <w:numPr>
          <w:ilvl w:val="0"/>
          <w:numId w:val="3"/>
        </w:numPr>
        <w:spacing w:after="0"/>
        <w:ind w:left="426" w:right="84"/>
        <w:jc w:val="both"/>
        <w:rPr>
          <w:rFonts w:ascii="Century Gothic" w:hAnsi="Century Gothic" w:cs="Century Gothic"/>
          <w:sz w:val="20"/>
          <w:szCs w:val="20"/>
        </w:rPr>
      </w:pPr>
      <w:r w:rsidRPr="00A874AF">
        <w:rPr>
          <w:rFonts w:ascii="Century Gothic" w:hAnsi="Century Gothic" w:cs="Century Gothic"/>
          <w:sz w:val="20"/>
          <w:szCs w:val="20"/>
        </w:rPr>
        <w:t>Οι υπό προμήθεια αντλίες θα χρησιμοποιηθούν για την αποκατάσταση της εύρυθμης λειτουργίας των αντλιοστασίων που εδρεύουν στην ευρύτερη περιοχή της Δημοτικής Ενότητας Πλωμαρίου,</w:t>
      </w:r>
      <w:r>
        <w:rPr>
          <w:rFonts w:ascii="Century Gothic" w:hAnsi="Century Gothic" w:cs="Century Gothic"/>
          <w:sz w:val="20"/>
          <w:szCs w:val="20"/>
        </w:rPr>
        <w:t xml:space="preserve"> η οποία είναι αρκετά απομακρυσμένη έτσι ώστε να είναι εύκολη η άμεση επέμβαση στην εμφάνιση βλαβών και διαρροών λυμάτων (βλαβερά για την ανθρώπινη υγεία).</w:t>
      </w:r>
    </w:p>
    <w:p w:rsidR="004B73AC" w:rsidRDefault="004B73AC" w:rsidP="002231D5">
      <w:pPr>
        <w:pStyle w:val="ListParagraph"/>
        <w:numPr>
          <w:ilvl w:val="0"/>
          <w:numId w:val="3"/>
        </w:numPr>
        <w:spacing w:after="0"/>
        <w:ind w:left="426" w:right="84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Οι υπάρχουσες αντλίες παρουσίασαν προβλήματα λειτουργικότητας τα οποία δεν μπορούν να επιδιορθωθούν λόγω:</w:t>
      </w:r>
    </w:p>
    <w:p w:rsidR="004B73AC" w:rsidRDefault="004B73AC" w:rsidP="002231D5">
      <w:pPr>
        <w:pStyle w:val="ListParagraph"/>
        <w:numPr>
          <w:ilvl w:val="0"/>
          <w:numId w:val="5"/>
        </w:num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  <w:r w:rsidRPr="002231D5">
        <w:rPr>
          <w:rFonts w:ascii="Century Gothic" w:hAnsi="Century Gothic" w:cs="Century Gothic"/>
          <w:sz w:val="20"/>
          <w:szCs w:val="20"/>
        </w:rPr>
        <w:t xml:space="preserve">του μεγάλου όγκου λυμάτων – βοθρολυμάτων τα οποία επεξεργάζονται, </w:t>
      </w:r>
    </w:p>
    <w:p w:rsidR="004B73AC" w:rsidRDefault="004B73AC" w:rsidP="002231D5">
      <w:pPr>
        <w:pStyle w:val="ListParagraph"/>
        <w:numPr>
          <w:ilvl w:val="0"/>
          <w:numId w:val="5"/>
        </w:num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  <w:r w:rsidRPr="002231D5">
        <w:rPr>
          <w:rFonts w:ascii="Century Gothic" w:hAnsi="Century Gothic" w:cs="Century Gothic"/>
          <w:sz w:val="20"/>
          <w:szCs w:val="20"/>
        </w:rPr>
        <w:t>πολύωρης λειτουργίας</w:t>
      </w:r>
      <w:r>
        <w:rPr>
          <w:rFonts w:ascii="Century Gothic" w:hAnsi="Century Gothic" w:cs="Century Gothic"/>
          <w:sz w:val="20"/>
          <w:szCs w:val="20"/>
        </w:rPr>
        <w:t>,</w:t>
      </w:r>
      <w:r w:rsidRPr="002231D5">
        <w:rPr>
          <w:rFonts w:ascii="Century Gothic" w:hAnsi="Century Gothic" w:cs="Century Gothic"/>
          <w:sz w:val="20"/>
          <w:szCs w:val="20"/>
        </w:rPr>
        <w:t xml:space="preserve"> </w:t>
      </w:r>
    </w:p>
    <w:p w:rsidR="004B73AC" w:rsidRPr="002231D5" w:rsidRDefault="004B73AC" w:rsidP="002231D5">
      <w:pPr>
        <w:pStyle w:val="ListParagraph"/>
        <w:numPr>
          <w:ilvl w:val="0"/>
          <w:numId w:val="5"/>
        </w:num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της</w:t>
      </w:r>
      <w:r w:rsidRPr="002231D5">
        <w:rPr>
          <w:rFonts w:ascii="Century Gothic" w:hAnsi="Century Gothic" w:cs="Century Gothic"/>
          <w:sz w:val="20"/>
          <w:szCs w:val="20"/>
        </w:rPr>
        <w:t xml:space="preserve"> φύση</w:t>
      </w:r>
      <w:r>
        <w:rPr>
          <w:rFonts w:ascii="Century Gothic" w:hAnsi="Century Gothic" w:cs="Century Gothic"/>
          <w:sz w:val="20"/>
          <w:szCs w:val="20"/>
        </w:rPr>
        <w:t>ς</w:t>
      </w:r>
      <w:r w:rsidRPr="002231D5">
        <w:rPr>
          <w:rFonts w:ascii="Century Gothic" w:hAnsi="Century Gothic" w:cs="Century Gothic"/>
          <w:sz w:val="20"/>
          <w:szCs w:val="20"/>
        </w:rPr>
        <w:t xml:space="preserve"> του διερχόμενου λύματος</w:t>
      </w:r>
      <w:r>
        <w:rPr>
          <w:rFonts w:ascii="Century Gothic" w:hAnsi="Century Gothic" w:cs="Century Gothic"/>
          <w:sz w:val="20"/>
          <w:szCs w:val="20"/>
        </w:rPr>
        <w:t xml:space="preserve"> η οποία</w:t>
      </w:r>
      <w:r w:rsidRPr="002231D5">
        <w:rPr>
          <w:rFonts w:ascii="Century Gothic" w:hAnsi="Century Gothic" w:cs="Century Gothic"/>
          <w:sz w:val="20"/>
          <w:szCs w:val="20"/>
        </w:rPr>
        <w:t xml:space="preserve"> είναι ιδιαίτερα διαβρωτική με αποτέλεσμα να δημιουργούνται προβλήματα στις αντλίες τα οποία δεν δύναται να επισκευαστούν παρά μόνο να αντικατασταθεί ολόκληρο η αντλία με μία νέα. </w:t>
      </w:r>
    </w:p>
    <w:p w:rsidR="004B73AC" w:rsidRDefault="004B73AC" w:rsidP="002231D5">
      <w:p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</w:p>
    <w:p w:rsidR="004B73AC" w:rsidRDefault="004B73AC" w:rsidP="002231D5">
      <w:p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  <w:r w:rsidRPr="002231D5">
        <w:rPr>
          <w:rFonts w:ascii="Century Gothic" w:hAnsi="Century Gothic" w:cs="Century Gothic"/>
          <w:b/>
          <w:bCs/>
          <w:sz w:val="20"/>
          <w:szCs w:val="20"/>
        </w:rPr>
        <w:t>Κρίνεται λοιπόν σκόπιμη και αναγκαία</w:t>
      </w:r>
      <w:r>
        <w:rPr>
          <w:rFonts w:ascii="Century Gothic" w:hAnsi="Century Gothic" w:cs="Century Gothic"/>
          <w:sz w:val="20"/>
          <w:szCs w:val="20"/>
        </w:rPr>
        <w:t xml:space="preserve"> η προμήθεια των αντλιών των οποίων τα χαρακτηριστικά παρουσιάζονται αναλυτικά στο παρακάτω πίνακα</w:t>
      </w:r>
    </w:p>
    <w:p w:rsidR="004B73AC" w:rsidRDefault="004B73AC" w:rsidP="002231D5">
      <w:p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</w:p>
    <w:p w:rsidR="004B73AC" w:rsidRDefault="004B73AC" w:rsidP="002231D5">
      <w:pPr>
        <w:rPr>
          <w:rFonts w:ascii="Century Gothic" w:hAnsi="Century Gothic" w:cs="Century Gothic"/>
          <w:b/>
          <w:bCs/>
        </w:rPr>
      </w:pPr>
      <w:r w:rsidRPr="00BA1B7B">
        <w:rPr>
          <w:rFonts w:ascii="Century Gothic" w:hAnsi="Century Gothic" w:cs="Century Gothic"/>
          <w:b/>
          <w:bCs/>
        </w:rPr>
        <w:t>Πίνακας Τεχνικών Χαρακτηριστικών</w:t>
      </w:r>
    </w:p>
    <w:tbl>
      <w:tblPr>
        <w:tblW w:w="60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"/>
        <w:gridCol w:w="2065"/>
        <w:gridCol w:w="3417"/>
      </w:tblGrid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α/α</w:t>
            </w:r>
          </w:p>
        </w:tc>
        <w:tc>
          <w:tcPr>
            <w:tcW w:w="2065" w:type="dxa"/>
            <w:vAlign w:val="center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 xml:space="preserve">Περιγραφή </w:t>
            </w:r>
          </w:p>
        </w:tc>
        <w:tc>
          <w:tcPr>
            <w:tcW w:w="3417" w:type="dxa"/>
            <w:vAlign w:val="center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1</w:t>
            </w:r>
          </w:p>
        </w:tc>
        <w:tc>
          <w:tcPr>
            <w:tcW w:w="2065" w:type="dxa"/>
          </w:tcPr>
          <w:p w:rsidR="004B73AC" w:rsidRPr="001E7174" w:rsidRDefault="004B73AC" w:rsidP="006A5730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 xml:space="preserve">Αξονας αντλίας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και φτερωτή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Κατασκευασμένα από ανοξείδωτο χάλυβα Α151 316</w:t>
            </w: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2</w:t>
            </w:r>
          </w:p>
        </w:tc>
        <w:tc>
          <w:tcPr>
            <w:tcW w:w="2065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 xml:space="preserve">Έξοδος αντλίας 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 xml:space="preserve">Σπείρωμα 2 </w:t>
            </w:r>
            <w:r w:rsidRPr="006A5730">
              <w:rPr>
                <w:rFonts w:ascii="Century Gothic" w:hAnsi="Century Gothic" w:cs="Century Gothic"/>
                <w:lang w:val="en-US"/>
              </w:rPr>
              <w:t>inc</w:t>
            </w:r>
            <w:r w:rsidRPr="006A5730">
              <w:rPr>
                <w:rFonts w:ascii="Century Gothic" w:hAnsi="Century Gothic" w:cs="Century Gothic"/>
              </w:rPr>
              <w:t xml:space="preserve"> </w:t>
            </w: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3</w:t>
            </w:r>
          </w:p>
        </w:tc>
        <w:tc>
          <w:tcPr>
            <w:tcW w:w="2065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 xml:space="preserve">Βάρος αντλίας 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lang w:val="en-US"/>
              </w:rPr>
            </w:pPr>
            <w:r w:rsidRPr="006A5730">
              <w:rPr>
                <w:rFonts w:ascii="Century Gothic" w:hAnsi="Century Gothic" w:cs="Century Gothic"/>
              </w:rPr>
              <w:t xml:space="preserve">≤ 22 </w:t>
            </w:r>
            <w:r w:rsidRPr="006A5730">
              <w:rPr>
                <w:rFonts w:ascii="Century Gothic" w:hAnsi="Century Gothic" w:cs="Century Gothic"/>
                <w:lang w:val="en-US"/>
              </w:rPr>
              <w:t>kg</w:t>
            </w: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4</w:t>
            </w:r>
          </w:p>
        </w:tc>
        <w:tc>
          <w:tcPr>
            <w:tcW w:w="2065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>Ισχύς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 xml:space="preserve">≤1,5 </w:t>
            </w:r>
            <w:r w:rsidRPr="006A5730">
              <w:rPr>
                <w:rFonts w:ascii="Century Gothic" w:hAnsi="Century Gothic" w:cs="Century Gothic"/>
                <w:lang w:val="en-US"/>
              </w:rPr>
              <w:t>Kw</w:t>
            </w:r>
            <w:r w:rsidRPr="006A5730">
              <w:rPr>
                <w:rFonts w:ascii="Century Gothic" w:hAnsi="Century Gothic" w:cs="Century Gothic"/>
              </w:rPr>
              <w:t xml:space="preserve"> ή 2 </w:t>
            </w:r>
            <w:r w:rsidRPr="006A5730">
              <w:rPr>
                <w:rFonts w:ascii="Century Gothic" w:hAnsi="Century Gothic" w:cs="Century Gothic"/>
                <w:lang w:val="en-US"/>
              </w:rPr>
              <w:t>hp</w:t>
            </w:r>
            <w:r w:rsidRPr="006A5730">
              <w:rPr>
                <w:rFonts w:ascii="Century Gothic" w:hAnsi="Century Gothic" w:cs="Century Gothic"/>
              </w:rPr>
              <w:t xml:space="preserve"> </w:t>
            </w: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5</w:t>
            </w:r>
          </w:p>
        </w:tc>
        <w:tc>
          <w:tcPr>
            <w:tcW w:w="2065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 xml:space="preserve">Μήκος καλωδίου 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lang w:val="en-US"/>
              </w:rPr>
            </w:pPr>
            <w:r w:rsidRPr="006A5730">
              <w:rPr>
                <w:rFonts w:ascii="Century Gothic" w:hAnsi="Century Gothic" w:cs="Century Gothic"/>
              </w:rPr>
              <w:t xml:space="preserve">≥ 10 </w:t>
            </w:r>
            <w:r w:rsidRPr="006A5730">
              <w:rPr>
                <w:rFonts w:ascii="Century Gothic" w:hAnsi="Century Gothic" w:cs="Century Gothic"/>
                <w:lang w:val="en-US"/>
              </w:rPr>
              <w:t>m</w:t>
            </w: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6</w:t>
            </w:r>
          </w:p>
        </w:tc>
        <w:tc>
          <w:tcPr>
            <w:tcW w:w="2065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 xml:space="preserve">Δυνατότητα διέλευσης στερεού 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lang w:val="en-US"/>
              </w:rPr>
            </w:pPr>
            <w:r w:rsidRPr="006A5730">
              <w:rPr>
                <w:rFonts w:ascii="Century Gothic" w:hAnsi="Century Gothic" w:cs="Century Gothic"/>
              </w:rPr>
              <w:t>≤</w:t>
            </w:r>
            <w:r w:rsidRPr="006A5730">
              <w:rPr>
                <w:rFonts w:ascii="Century Gothic" w:hAnsi="Century Gothic" w:cs="Century Gothic"/>
                <w:lang w:val="en-US"/>
              </w:rPr>
              <w:t xml:space="preserve"> </w:t>
            </w:r>
            <w:r w:rsidRPr="006A5730">
              <w:rPr>
                <w:rFonts w:ascii="Century Gothic" w:hAnsi="Century Gothic" w:cs="Century Gothic"/>
              </w:rPr>
              <w:t>50</w:t>
            </w:r>
            <w:r w:rsidRPr="006A5730">
              <w:rPr>
                <w:rFonts w:ascii="Century Gothic" w:hAnsi="Century Gothic" w:cs="Century Gothic"/>
                <w:lang w:val="en-US"/>
              </w:rPr>
              <w:t xml:space="preserve"> mm</w:t>
            </w: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7</w:t>
            </w:r>
          </w:p>
        </w:tc>
        <w:tc>
          <w:tcPr>
            <w:tcW w:w="2065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  <w:lang w:val="en-US"/>
              </w:rPr>
              <w:t>Q (</w:t>
            </w:r>
            <w:r w:rsidRPr="006A5730">
              <w:rPr>
                <w:rFonts w:ascii="Century Gothic" w:hAnsi="Century Gothic" w:cs="Century Gothic"/>
              </w:rPr>
              <w:t xml:space="preserve">παροχή) 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 xml:space="preserve">≥ 30 </w:t>
            </w:r>
            <w:r w:rsidRPr="006A5730">
              <w:rPr>
                <w:rFonts w:ascii="Century Gothic" w:hAnsi="Century Gothic" w:cs="Century Gothic"/>
                <w:lang w:val="en-US"/>
              </w:rPr>
              <w:t>m</w:t>
            </w:r>
            <w:r w:rsidRPr="006A5730">
              <w:rPr>
                <w:rFonts w:ascii="Century Gothic" w:hAnsi="Century Gothic" w:cs="Century Gothic"/>
                <w:vertAlign w:val="superscript"/>
              </w:rPr>
              <w:t>3</w:t>
            </w:r>
            <w:r w:rsidRPr="006A5730">
              <w:rPr>
                <w:rFonts w:ascii="Century Gothic" w:hAnsi="Century Gothic" w:cs="Century Gothic"/>
              </w:rPr>
              <w:t>/</w:t>
            </w:r>
            <w:r w:rsidRPr="006A5730">
              <w:rPr>
                <w:rFonts w:ascii="Century Gothic" w:hAnsi="Century Gothic" w:cs="Century Gothic"/>
                <w:lang w:val="en-US"/>
              </w:rPr>
              <w:t>h</w:t>
            </w:r>
            <w:r w:rsidRPr="006A5730">
              <w:rPr>
                <w:rFonts w:ascii="Century Gothic" w:hAnsi="Century Gothic" w:cs="Century Gothic"/>
              </w:rPr>
              <w:t xml:space="preserve">  σε 0 μανομετρικό ύψος</w:t>
            </w: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8</w:t>
            </w:r>
          </w:p>
        </w:tc>
        <w:tc>
          <w:tcPr>
            <w:tcW w:w="2065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  <w:lang w:val="en-US"/>
              </w:rPr>
              <w:t xml:space="preserve">H </w:t>
            </w:r>
            <w:r w:rsidRPr="006A5730">
              <w:rPr>
                <w:rFonts w:ascii="Century Gothic" w:hAnsi="Century Gothic" w:cs="Century Gothic"/>
              </w:rPr>
              <w:t xml:space="preserve">(μανομετρικό) 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>≥ 13 με δυνατότητα παροχής σε ύψος (</w:t>
            </w:r>
            <w:r w:rsidRPr="006A5730">
              <w:rPr>
                <w:rFonts w:ascii="Century Gothic" w:hAnsi="Century Gothic" w:cs="Century Gothic"/>
                <w:lang w:val="en-US"/>
              </w:rPr>
              <w:t>h</w:t>
            </w:r>
            <w:r w:rsidRPr="006A5730">
              <w:rPr>
                <w:rFonts w:ascii="Century Gothic" w:hAnsi="Century Gothic" w:cs="Century Gothic"/>
              </w:rPr>
              <w:t xml:space="preserve">) 13 </w:t>
            </w:r>
            <w:r w:rsidRPr="006A5730">
              <w:rPr>
                <w:rFonts w:ascii="Century Gothic" w:hAnsi="Century Gothic" w:cs="Century Gothic"/>
                <w:lang w:val="en-US"/>
              </w:rPr>
              <w:t>m</w:t>
            </w:r>
            <w:r w:rsidRPr="006A5730">
              <w:rPr>
                <w:rFonts w:ascii="Century Gothic" w:hAnsi="Century Gothic" w:cs="Century Gothic"/>
              </w:rPr>
              <w:t xml:space="preserve"> να είναι 2-3 m3/h  </w:t>
            </w:r>
          </w:p>
        </w:tc>
      </w:tr>
      <w:tr w:rsidR="004B73AC" w:rsidRPr="006A5730">
        <w:tc>
          <w:tcPr>
            <w:tcW w:w="609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6A5730">
              <w:rPr>
                <w:rFonts w:ascii="Century Gothic" w:hAnsi="Century Gothic" w:cs="Century Gothic"/>
                <w:b/>
                <w:bCs/>
              </w:rPr>
              <w:t>9</w:t>
            </w:r>
          </w:p>
        </w:tc>
        <w:tc>
          <w:tcPr>
            <w:tcW w:w="2065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6A5730">
              <w:rPr>
                <w:rFonts w:ascii="Century Gothic" w:hAnsi="Century Gothic" w:cs="Century Gothic"/>
              </w:rPr>
              <w:t>Βάθος κατάδισης</w:t>
            </w:r>
          </w:p>
        </w:tc>
        <w:tc>
          <w:tcPr>
            <w:tcW w:w="3417" w:type="dxa"/>
          </w:tcPr>
          <w:p w:rsidR="004B73AC" w:rsidRPr="006A5730" w:rsidRDefault="004B73AC" w:rsidP="006A5730">
            <w:pPr>
              <w:spacing w:after="0" w:line="240" w:lineRule="auto"/>
              <w:rPr>
                <w:rFonts w:ascii="Century Gothic" w:hAnsi="Century Gothic" w:cs="Century Gothic"/>
                <w:lang w:val="en-US"/>
              </w:rPr>
            </w:pPr>
            <w:r w:rsidRPr="006A5730">
              <w:rPr>
                <w:rFonts w:ascii="Century Gothic" w:hAnsi="Century Gothic" w:cs="Century Gothic"/>
              </w:rPr>
              <w:t>≥</w:t>
            </w:r>
            <w:r>
              <w:rPr>
                <w:rFonts w:ascii="Century Gothic" w:hAnsi="Century Gothic" w:cs="Century Gothic"/>
              </w:rPr>
              <w:t xml:space="preserve"> 7</w:t>
            </w:r>
            <w:r w:rsidRPr="006A5730">
              <w:rPr>
                <w:rFonts w:ascii="Century Gothic" w:hAnsi="Century Gothic" w:cs="Century Gothic"/>
              </w:rPr>
              <w:t xml:space="preserve"> </w:t>
            </w:r>
            <w:r w:rsidRPr="006A5730">
              <w:rPr>
                <w:rFonts w:ascii="Century Gothic" w:hAnsi="Century Gothic" w:cs="Century Gothic"/>
                <w:lang w:val="en-US"/>
              </w:rPr>
              <w:t>m</w:t>
            </w:r>
          </w:p>
        </w:tc>
      </w:tr>
    </w:tbl>
    <w:p w:rsidR="004B73AC" w:rsidRDefault="004B73AC" w:rsidP="002231D5">
      <w:p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</w:p>
    <w:p w:rsidR="004B73AC" w:rsidRDefault="004B73AC" w:rsidP="002231D5">
      <w:p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</w:p>
    <w:p w:rsidR="004B73AC" w:rsidRPr="002231D5" w:rsidRDefault="004B73AC" w:rsidP="002231D5">
      <w:pPr>
        <w:spacing w:after="0"/>
        <w:ind w:right="84"/>
        <w:jc w:val="both"/>
        <w:rPr>
          <w:rFonts w:ascii="Century Gothic" w:hAnsi="Century Gothic" w:cs="Century Gothic"/>
          <w:sz w:val="20"/>
          <w:szCs w:val="20"/>
        </w:rPr>
      </w:pPr>
    </w:p>
    <w:p w:rsidR="004B73AC" w:rsidRPr="00D471EE" w:rsidRDefault="004B73AC" w:rsidP="00D471EE">
      <w:pPr>
        <w:ind w:right="84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</w:t>
      </w:r>
    </w:p>
    <w:tbl>
      <w:tblPr>
        <w:tblW w:w="0" w:type="auto"/>
        <w:tblInd w:w="-106" w:type="dxa"/>
        <w:tblLook w:val="00A0"/>
      </w:tblPr>
      <w:tblGrid>
        <w:gridCol w:w="4148"/>
        <w:gridCol w:w="4148"/>
      </w:tblGrid>
      <w:tr w:rsidR="004B73AC" w:rsidRPr="006A5730">
        <w:tc>
          <w:tcPr>
            <w:tcW w:w="4148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Ο ΠΡΟΪΣΤΑΜΕΝΟΣ ΤΜΗΜΑΤΟΣ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ΛΕΙΤΟΥΡΓΙΑΣ &amp; ΣΥΝΤΗΡΗΣΗΣ Ε.Ε.Λ.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ΔΕΥΑΛ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ΠΡΟΚΟΠΙΟΥ ΗΡΑΚΛΗΣ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ΠΟΛΙΤΙΚΟΣ ΜΗΧΑΝΙΚΟΣ Τ.Ε.</w:t>
            </w:r>
          </w:p>
        </w:tc>
        <w:tc>
          <w:tcPr>
            <w:tcW w:w="4148" w:type="dxa"/>
          </w:tcPr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Ο ΔΙΕΥΘΥΝΤΗΣ ΥΠΗΡΕΣΙΑΣ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ΠΕΡΙΒΑΛΛΟΝΤΟΣ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ΔΕΥΑΛ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B73AC" w:rsidRPr="006A5730" w:rsidRDefault="004B73AC" w:rsidP="006A5730">
            <w:pPr>
              <w:spacing w:after="0" w:line="240" w:lineRule="auto"/>
              <w:ind w:right="84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ΒΑΣΙΛΑΡΟΣ ΣΩΤΗΡΗΣ</w:t>
            </w:r>
          </w:p>
          <w:p w:rsidR="004B73AC" w:rsidRPr="006A5730" w:rsidRDefault="004B73AC" w:rsidP="006A5730">
            <w:pPr>
              <w:spacing w:after="0" w:line="240" w:lineRule="auto"/>
              <w:ind w:right="8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6A5730">
              <w:rPr>
                <w:rFonts w:ascii="Century Gothic" w:hAnsi="Century Gothic" w:cs="Century Gothic"/>
                <w:sz w:val="20"/>
                <w:szCs w:val="20"/>
              </w:rPr>
              <w:t>ΧΗΜΙΚΟΣ</w:t>
            </w:r>
          </w:p>
        </w:tc>
      </w:tr>
    </w:tbl>
    <w:p w:rsidR="004B73AC" w:rsidRPr="00D471EE" w:rsidRDefault="004B73AC" w:rsidP="00D471EE">
      <w:pPr>
        <w:ind w:right="84"/>
        <w:rPr>
          <w:rFonts w:ascii="Century Gothic" w:hAnsi="Century Gothic" w:cs="Century Gothic"/>
          <w:sz w:val="20"/>
          <w:szCs w:val="20"/>
        </w:rPr>
      </w:pPr>
    </w:p>
    <w:sectPr w:rsidR="004B73AC" w:rsidRPr="00D471EE" w:rsidSect="00D471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AC" w:rsidRDefault="004B73AC" w:rsidP="00F952D0">
      <w:pPr>
        <w:spacing w:after="0" w:line="240" w:lineRule="auto"/>
      </w:pPr>
      <w:r>
        <w:separator/>
      </w:r>
    </w:p>
  </w:endnote>
  <w:endnote w:type="continuationSeparator" w:id="0">
    <w:p w:rsidR="004B73AC" w:rsidRDefault="004B73AC" w:rsidP="00F9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AC" w:rsidRDefault="004B73AC" w:rsidP="00F952D0">
      <w:pPr>
        <w:spacing w:after="0" w:line="240" w:lineRule="auto"/>
      </w:pPr>
      <w:r>
        <w:separator/>
      </w:r>
    </w:p>
  </w:footnote>
  <w:footnote w:type="continuationSeparator" w:id="0">
    <w:p w:rsidR="004B73AC" w:rsidRDefault="004B73AC" w:rsidP="00F95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8363B"/>
    <w:multiLevelType w:val="hybridMultilevel"/>
    <w:tmpl w:val="7F1E2926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2">
    <w:nsid w:val="629E2144"/>
    <w:multiLevelType w:val="hybridMultilevel"/>
    <w:tmpl w:val="C4BCEB24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3">
    <w:nsid w:val="66EC40C4"/>
    <w:multiLevelType w:val="hybridMultilevel"/>
    <w:tmpl w:val="AA8C4554"/>
    <w:lvl w:ilvl="0" w:tplc="5950E06E">
      <w:start w:val="1"/>
      <w:numFmt w:val="decimal"/>
      <w:pStyle w:val="Heading1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0D70F3"/>
    <w:multiLevelType w:val="hybridMultilevel"/>
    <w:tmpl w:val="CC98712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CC4"/>
    <w:rsid w:val="00053A00"/>
    <w:rsid w:val="000E30BD"/>
    <w:rsid w:val="001E7174"/>
    <w:rsid w:val="002231D5"/>
    <w:rsid w:val="00235515"/>
    <w:rsid w:val="002B10EC"/>
    <w:rsid w:val="0043510B"/>
    <w:rsid w:val="004918FC"/>
    <w:rsid w:val="004B73AC"/>
    <w:rsid w:val="00564204"/>
    <w:rsid w:val="006A5730"/>
    <w:rsid w:val="007513A1"/>
    <w:rsid w:val="007B5A87"/>
    <w:rsid w:val="008F2B5F"/>
    <w:rsid w:val="00964A31"/>
    <w:rsid w:val="00973D27"/>
    <w:rsid w:val="00A13DD0"/>
    <w:rsid w:val="00A734F5"/>
    <w:rsid w:val="00A874AF"/>
    <w:rsid w:val="00BA1B7B"/>
    <w:rsid w:val="00C8611C"/>
    <w:rsid w:val="00CD33A7"/>
    <w:rsid w:val="00D471EE"/>
    <w:rsid w:val="00D82B94"/>
    <w:rsid w:val="00E52713"/>
    <w:rsid w:val="00EE0CC4"/>
    <w:rsid w:val="00F9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BD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52D0"/>
    <w:pPr>
      <w:keepNext/>
      <w:numPr>
        <w:numId w:val="2"/>
      </w:numPr>
      <w:tabs>
        <w:tab w:val="left" w:pos="1134"/>
      </w:tabs>
      <w:suppressAutoHyphens/>
      <w:overflowPunct w:val="0"/>
      <w:autoSpaceDE w:val="0"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52D0"/>
    <w:rPr>
      <w:rFonts w:ascii="Arial" w:hAnsi="Arial" w:cs="Arial"/>
      <w:b/>
      <w:bCs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F952D0"/>
    <w:rPr>
      <w:color w:val="0000FF"/>
      <w:u w:val="single"/>
    </w:rPr>
  </w:style>
  <w:style w:type="paragraph" w:customStyle="1" w:styleId="Default">
    <w:name w:val="Default"/>
    <w:uiPriority w:val="99"/>
    <w:rsid w:val="00F952D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FontStyle23">
    <w:name w:val="Font Style23"/>
    <w:uiPriority w:val="99"/>
    <w:rsid w:val="00F952D0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rsid w:val="00F952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52D0"/>
  </w:style>
  <w:style w:type="paragraph" w:styleId="Footer">
    <w:name w:val="footer"/>
    <w:basedOn w:val="Normal"/>
    <w:link w:val="FooterChar"/>
    <w:uiPriority w:val="99"/>
    <w:rsid w:val="00F952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52D0"/>
  </w:style>
  <w:style w:type="table" w:styleId="TableGrid">
    <w:name w:val="Table Grid"/>
    <w:basedOn w:val="TableNormal"/>
    <w:uiPriority w:val="99"/>
    <w:rsid w:val="00F952D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874A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6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324</Words>
  <Characters>1755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dhmos</cp:lastModifiedBy>
  <cp:revision>4</cp:revision>
  <cp:lastPrinted>2019-12-23T07:46:00Z</cp:lastPrinted>
  <dcterms:created xsi:type="dcterms:W3CDTF">2019-12-24T10:14:00Z</dcterms:created>
  <dcterms:modified xsi:type="dcterms:W3CDTF">2020-02-24T06:01:00Z</dcterms:modified>
</cp:coreProperties>
</file>