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42" w:rsidRDefault="00130542" w:rsidP="00130542">
      <w:pPr>
        <w:jc w:val="both"/>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1 (ΤΠ 1)</w:t>
      </w:r>
    </w:p>
    <w:p w:rsidR="00130542" w:rsidRDefault="00130542" w:rsidP="00130542">
      <w:pPr>
        <w:jc w:val="center"/>
        <w:rPr>
          <w:rFonts w:ascii="Century Gothic" w:hAnsi="Century Gothic"/>
          <w:b/>
          <w:sz w:val="20"/>
          <w:szCs w:val="20"/>
        </w:rPr>
      </w:pPr>
      <w:r>
        <w:rPr>
          <w:rFonts w:ascii="Century Gothic" w:hAnsi="Century Gothic"/>
          <w:b/>
          <w:sz w:val="20"/>
          <w:szCs w:val="20"/>
        </w:rPr>
        <w:t>ΓΑΛΒΑΝΙΖΕ ΕΞΑΡΤΗΜΑΤΑ ΥΔΡΕΥΣΗΣ</w:t>
      </w:r>
    </w:p>
    <w:p w:rsidR="00130542" w:rsidRDefault="00130542" w:rsidP="00130542">
      <w:pPr>
        <w:jc w:val="center"/>
        <w:rPr>
          <w:rFonts w:ascii="Century Gothic" w:hAnsi="Century Gothic"/>
          <w:b/>
          <w:sz w:val="20"/>
          <w:szCs w:val="20"/>
        </w:rPr>
      </w:pP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Γωνίες  (αρς.-θηλ.)</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Μαστός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Μούφα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Ρακόρ κωνικό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αγγλ.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αμερ.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Τάπα θηλ.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Τάπα αρσ.</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Ταυ</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Σωληνομαστοί</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 με λάστιχο</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Βίδα</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Βίδα &amp; περικόχλιο</w:t>
      </w:r>
    </w:p>
    <w:p w:rsidR="00130542" w:rsidRDefault="00130542" w:rsidP="00130542">
      <w:pPr>
        <w:jc w:val="both"/>
        <w:rPr>
          <w:rFonts w:ascii="Century Gothic" w:hAnsi="Century Gothic"/>
          <w:sz w:val="20"/>
          <w:szCs w:val="20"/>
        </w:rPr>
      </w:pPr>
      <w:r>
        <w:rPr>
          <w:rFonts w:ascii="Century Gothic" w:hAnsi="Century Gothic"/>
          <w:sz w:val="20"/>
          <w:szCs w:val="20"/>
        </w:rPr>
        <w:t xml:space="preserve">κατάλληλα για χρήση σε δίκτυο ύδρευσης, σύμφωνα με την προδιαγραφή ΕΝ </w:t>
      </w:r>
      <w:r>
        <w:rPr>
          <w:rFonts w:ascii="Century Gothic" w:hAnsi="Century Gothic"/>
          <w:sz w:val="20"/>
          <w:szCs w:val="20"/>
          <w:lang w:val="en-US"/>
        </w:rPr>
        <w:t>ISO</w:t>
      </w:r>
      <w:r>
        <w:rPr>
          <w:rFonts w:ascii="Century Gothic" w:hAnsi="Century Gothic"/>
          <w:sz w:val="20"/>
          <w:szCs w:val="20"/>
        </w:rPr>
        <w:t xml:space="preserve"> 9001:2008.</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2 (ΤΠ 2)</w:t>
      </w:r>
    </w:p>
    <w:p w:rsidR="00130542" w:rsidRDefault="00130542" w:rsidP="00130542">
      <w:pPr>
        <w:jc w:val="center"/>
        <w:rPr>
          <w:rFonts w:ascii="Century Gothic" w:hAnsi="Century Gothic"/>
          <w:b/>
          <w:sz w:val="20"/>
          <w:szCs w:val="20"/>
        </w:rPr>
      </w:pPr>
      <w:r>
        <w:rPr>
          <w:rFonts w:ascii="Century Gothic" w:hAnsi="Century Gothic"/>
          <w:b/>
          <w:sz w:val="20"/>
          <w:szCs w:val="20"/>
        </w:rPr>
        <w:t>ΚΑΛΥΜΜΑΤΑ ΦΡΕΑΤΙΩΝ</w:t>
      </w:r>
    </w:p>
    <w:p w:rsidR="00130542" w:rsidRDefault="00130542" w:rsidP="00130542">
      <w:pPr>
        <w:jc w:val="center"/>
        <w:rPr>
          <w:rFonts w:ascii="Century Gothic" w:hAnsi="Century Gothic"/>
          <w:b/>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Καλύμματα φρεατίων από ελατό χυτοσίδηρο (</w:t>
      </w:r>
      <w:r>
        <w:rPr>
          <w:rFonts w:ascii="Century Gothic" w:hAnsi="Century Gothic"/>
          <w:sz w:val="20"/>
          <w:szCs w:val="20"/>
          <w:lang w:val="en-US"/>
        </w:rPr>
        <w:t>ductile</w:t>
      </w:r>
      <w:r w:rsidRPr="008A4FA2">
        <w:rPr>
          <w:rFonts w:ascii="Century Gothic" w:hAnsi="Century Gothic"/>
          <w:sz w:val="20"/>
          <w:szCs w:val="20"/>
        </w:rPr>
        <w:t xml:space="preserve"> </w:t>
      </w:r>
      <w:r>
        <w:rPr>
          <w:rFonts w:ascii="Century Gothic" w:hAnsi="Century Gothic"/>
          <w:sz w:val="20"/>
          <w:szCs w:val="20"/>
          <w:lang w:val="en-US"/>
        </w:rPr>
        <w:t>iron</w:t>
      </w:r>
      <w:r>
        <w:rPr>
          <w:rFonts w:ascii="Century Gothic" w:hAnsi="Century Gothic"/>
          <w:sz w:val="20"/>
          <w:szCs w:val="20"/>
        </w:rPr>
        <w:t>) κατά ΕΛΟΤ ΕΝ 124, με σήμανση ΕΝ 124, με διάταξη ασφάλισης.</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Τα χυτοσιδηρά καλύμματα συνοδεύονται από πιστοποιητικά συμμόρφωσης σύμφωνα με το ΕΛΟΤ ΕΝ 124, που εκδίδεται από αναγνωρισμένο οργανισμό πιστοποίησης.</w:t>
      </w:r>
    </w:p>
    <w:p w:rsidR="00130542" w:rsidRDefault="00130542" w:rsidP="00130542">
      <w:pPr>
        <w:jc w:val="both"/>
        <w:rPr>
          <w:rFonts w:ascii="Century Gothic" w:hAnsi="Century Gothic"/>
          <w:sz w:val="20"/>
          <w:szCs w:val="20"/>
        </w:rPr>
      </w:pPr>
      <w:r>
        <w:rPr>
          <w:rFonts w:ascii="Century Gothic" w:hAnsi="Century Gothic"/>
          <w:sz w:val="20"/>
          <w:szCs w:val="20"/>
        </w:rPr>
        <w:t>Η ΔΕΥΑΛ έχει την δυνατότητα να απαιτήσει επιπρόσθετα ποιοτικά ή τεχνικά χαρακτηριστικά των υλικών που ενσωματώνονται, πέραν αυτών που καθορίζονται στα ως άνω πρότυπα, υπό την προϋπόθεση ότι δεν αντιβαίνουν προς τα πρότυπα αυτά.</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Κάθε τεμάχιο θα φέρει αναγεγραμμένα στην εμφανή και εντοιχιζόμενη όψη του με ανάγλυφα στοιχεία ή ανάγλυφη σήμανση τα παρακάτω:</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Την ένδειξη ΕΛΟΤ ΕΝ 124 (ως ένδειξη συμφωνίας με το πρότυπο)</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Την ένδειξη της κατηγορίας του καλύμματος</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έτος και το μήνα χύτευσης</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όνομα ή/και το σήμα ταυτότητας του εργοστασίου κατασκευής</w:t>
      </w:r>
    </w:p>
    <w:p w:rsidR="00894AB4" w:rsidRPr="007E44AB" w:rsidRDefault="00130542" w:rsidP="007E44AB">
      <w:pPr>
        <w:numPr>
          <w:ilvl w:val="0"/>
          <w:numId w:val="2"/>
        </w:numPr>
        <w:spacing w:after="0" w:line="240" w:lineRule="auto"/>
        <w:jc w:val="both"/>
        <w:rPr>
          <w:rFonts w:ascii="Century Gothic" w:hAnsi="Century Gothic"/>
          <w:sz w:val="20"/>
          <w:szCs w:val="20"/>
        </w:rPr>
      </w:pPr>
      <w:r>
        <w:rPr>
          <w:rFonts w:ascii="Century Gothic" w:hAnsi="Century Gothic"/>
          <w:sz w:val="20"/>
          <w:szCs w:val="20"/>
        </w:rPr>
        <w:lastRenderedPageBreak/>
        <w:t>Το σήμα του Οργανισμού Τυποποίησης.</w:t>
      </w:r>
    </w:p>
    <w:p w:rsidR="00130542" w:rsidRDefault="00130542" w:rsidP="00130542">
      <w:pPr>
        <w:jc w:val="both"/>
        <w:rPr>
          <w:rFonts w:ascii="Century Gothic" w:hAnsi="Century Gothic"/>
          <w:sz w:val="20"/>
          <w:szCs w:val="20"/>
        </w:rPr>
      </w:pPr>
    </w:p>
    <w:p w:rsidR="00130542" w:rsidRDefault="00130542" w:rsidP="00130542">
      <w:pPr>
        <w:jc w:val="cente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8 (ΤΠ 8)</w:t>
      </w:r>
    </w:p>
    <w:p w:rsidR="00130542" w:rsidRDefault="00130542" w:rsidP="00130542">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130542" w:rsidRDefault="00130542" w:rsidP="00130542">
      <w:pPr>
        <w:jc w:val="center"/>
        <w:rPr>
          <w:rFonts w:ascii="Century Gothic" w:hAnsi="Century Gothic"/>
          <w:b/>
          <w:sz w:val="20"/>
          <w:szCs w:val="20"/>
        </w:rPr>
      </w:pP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μηχανικής συσφ. (αρσ-θηλ.)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(αρσ-θηλ.)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Μούφα</w:t>
      </w:r>
    </w:p>
    <w:p w:rsidR="00130542" w:rsidRDefault="00130542" w:rsidP="00130542">
      <w:pPr>
        <w:ind w:left="180"/>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u w:val="single"/>
        </w:rPr>
        <w:t>Γενικά χαρακτηριστικά</w:t>
      </w:r>
    </w:p>
    <w:p w:rsidR="00130542" w:rsidRDefault="00130542" w:rsidP="00130542">
      <w:pPr>
        <w:jc w:val="both"/>
        <w:rPr>
          <w:rFonts w:ascii="Century Gothic" w:hAnsi="Century Gothic"/>
          <w:sz w:val="20"/>
          <w:szCs w:val="20"/>
        </w:rPr>
      </w:pPr>
      <w:r>
        <w:rPr>
          <w:rFonts w:ascii="Century Gothic" w:hAnsi="Century Gothic"/>
          <w:sz w:val="20"/>
          <w:szCs w:val="20"/>
        </w:rPr>
        <w:t>Τα Ορειχάλκινα εξαρτήματα σύνδεσης θα είναι αρίστης κατασκευής, χωρίς πόρους, υπολείμματα άνθρακα ή οποιαδήποτε χυτευτική-κατασκευαστική ατέλεια. Το μέταλλο κατασκευής θα είναι ανθεκτικό χωρίς προσμίξεις άλλων υλικών.</w:t>
      </w:r>
    </w:p>
    <w:p w:rsidR="00130542" w:rsidRDefault="00130542" w:rsidP="00130542">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2F6C3E" w:rsidRPr="007E44AB" w:rsidRDefault="00130542" w:rsidP="007E44AB">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2F6C3E" w:rsidRDefault="002F6C3E" w:rsidP="00130542">
      <w:pPr>
        <w:jc w:val="cente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9 (ΤΠ 9)</w:t>
      </w:r>
    </w:p>
    <w:p w:rsidR="00130542" w:rsidRDefault="00130542" w:rsidP="00130542">
      <w:pPr>
        <w:jc w:val="center"/>
        <w:rPr>
          <w:rFonts w:ascii="Century Gothic" w:hAnsi="Century Gothic"/>
          <w:b/>
          <w:sz w:val="20"/>
          <w:szCs w:val="20"/>
        </w:rPr>
      </w:pPr>
      <w:r>
        <w:rPr>
          <w:rFonts w:ascii="Century Gothic" w:hAnsi="Century Gothic"/>
          <w:b/>
          <w:sz w:val="20"/>
          <w:szCs w:val="20"/>
        </w:rPr>
        <w:t>ΣΦΑΙΡΙΚΕΣ ΒΑΝΕΣ</w:t>
      </w:r>
    </w:p>
    <w:p w:rsidR="00130542" w:rsidRDefault="00130542" w:rsidP="00130542">
      <w:pPr>
        <w:jc w:val="center"/>
        <w:rPr>
          <w:rFonts w:ascii="Century Gothic" w:hAnsi="Century Gothic"/>
          <w:b/>
          <w:sz w:val="20"/>
          <w:szCs w:val="20"/>
        </w:rPr>
      </w:pPr>
    </w:p>
    <w:p w:rsidR="00130542" w:rsidRPr="00BD12BC" w:rsidRDefault="00130542" w:rsidP="00130542">
      <w:pPr>
        <w:jc w:val="both"/>
        <w:rPr>
          <w:rFonts w:ascii="Century Gothic" w:hAnsi="Century Gothic"/>
          <w:sz w:val="20"/>
          <w:szCs w:val="20"/>
        </w:rPr>
      </w:pPr>
      <w:r>
        <w:rPr>
          <w:rFonts w:ascii="Century Gothic" w:hAnsi="Century Gothic"/>
          <w:sz w:val="20"/>
          <w:szCs w:val="20"/>
        </w:rPr>
        <w:t>Σφαιρικοί διακόπτες από ορείχαλκο σφυρηλατημένο εν θερμώ,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
    <w:p w:rsidR="00127C76" w:rsidRPr="007733E4" w:rsidRDefault="00127C76" w:rsidP="002F6C3E">
      <w:pPr>
        <w:rPr>
          <w:rFonts w:ascii="Century Gothic" w:hAnsi="Century Gothic"/>
          <w:b/>
          <w:sz w:val="20"/>
          <w:szCs w:val="20"/>
        </w:rPr>
      </w:pPr>
    </w:p>
    <w:p w:rsidR="00BE4EE9" w:rsidRPr="007733E4" w:rsidRDefault="00BE4EE9" w:rsidP="00127C76">
      <w:pPr>
        <w:jc w:val="center"/>
        <w:rPr>
          <w:rFonts w:ascii="Century Gothic" w:hAnsi="Century Gothic"/>
          <w:b/>
          <w:sz w:val="20"/>
          <w:szCs w:val="20"/>
        </w:rPr>
      </w:pPr>
    </w:p>
    <w:p w:rsidR="00127C76" w:rsidRPr="006F61B3" w:rsidRDefault="00127C76" w:rsidP="00127C76">
      <w:pPr>
        <w:jc w:val="center"/>
        <w:rPr>
          <w:rFonts w:ascii="Century Gothic" w:hAnsi="Century Gothic"/>
          <w:b/>
          <w:sz w:val="20"/>
          <w:szCs w:val="20"/>
        </w:rPr>
      </w:pPr>
      <w:r w:rsidRPr="006F61B3">
        <w:rPr>
          <w:rFonts w:ascii="Century Gothic" w:hAnsi="Century Gothic"/>
          <w:b/>
          <w:sz w:val="20"/>
          <w:szCs w:val="20"/>
        </w:rPr>
        <w:lastRenderedPageBreak/>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127C76" w:rsidRPr="00206905" w:rsidRDefault="00127C76" w:rsidP="00127C76">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127C76" w:rsidRPr="00206905" w:rsidRDefault="00127C76" w:rsidP="00127C76">
      <w:pPr>
        <w:jc w:val="center"/>
        <w:rPr>
          <w:rFonts w:ascii="Century Gothic" w:hAnsi="Century Gothic"/>
          <w:b/>
          <w:sz w:val="20"/>
          <w:szCs w:val="20"/>
        </w:rPr>
      </w:pPr>
    </w:p>
    <w:p w:rsidR="00127C76" w:rsidRPr="006F61B3" w:rsidRDefault="00127C76" w:rsidP="00127C76">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(Μανσόν)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Οι σέλλες ταχείας επισκευής αποτελούνται από τα εξής εξαρτήματα: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127C76"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127C76" w:rsidRPr="006F61B3" w:rsidRDefault="00127C76" w:rsidP="00127C76">
      <w:pPr>
        <w:ind w:left="360"/>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«άρπαγμα-στόμωμα» κατά την σύσφιξη του περικοχλίου.</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127C76" w:rsidRDefault="00127C76" w:rsidP="00127C76">
      <w:pPr>
        <w:ind w:hanging="360"/>
        <w:jc w:val="both"/>
        <w:rPr>
          <w:rFonts w:ascii="Century Gothic" w:hAnsi="Century Gothic"/>
          <w:sz w:val="20"/>
          <w:szCs w:val="20"/>
        </w:rPr>
      </w:pPr>
      <w:r w:rsidRPr="006F61B3">
        <w:rPr>
          <w:rFonts w:ascii="Century Gothic" w:hAnsi="Century Gothic"/>
          <w:sz w:val="20"/>
          <w:szCs w:val="20"/>
        </w:rPr>
        <w:lastRenderedPageBreak/>
        <w:t>η. Οι σέλλες ταχείας επισκευής θα είναι κατάλληλες για ορισμένη περιοχή εξωτερικών διαμέτρων σωλήνων περί την ονομαστική.</w:t>
      </w:r>
    </w:p>
    <w:p w:rsidR="00127C76" w:rsidRPr="006F61B3" w:rsidRDefault="00127C76" w:rsidP="00127C76">
      <w:pPr>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Το ελαστικό στεγανοποίησης (περίβλημα) θα φέρει σε ολόκληρη την εφαπτόμενη επιφάνεια με τον σωλήνα ανάγλυφη εξωτερική χάραξη η οποία μεγιστοποιεί την αγκύρωση του εξαρτήματος στον αγωγό.</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r w:rsidRPr="00F57922">
        <w:rPr>
          <w:rFonts w:ascii="Century Gothic" w:hAnsi="Century Gothic"/>
          <w:sz w:val="20"/>
          <w:szCs w:val="20"/>
        </w:rPr>
        <w:t>single</w:t>
      </w:r>
      <w:r w:rsidRPr="006F61B3">
        <w:rPr>
          <w:rFonts w:ascii="Century Gothic" w:hAnsi="Century Gothic"/>
          <w:sz w:val="20"/>
          <w:szCs w:val="20"/>
        </w:rPr>
        <w:t xml:space="preserve"> </w:t>
      </w:r>
      <w:r w:rsidRPr="00F57922">
        <w:rPr>
          <w:rFonts w:ascii="Century Gothic" w:hAnsi="Century Gothic"/>
          <w:sz w:val="20"/>
          <w:szCs w:val="20"/>
        </w:rPr>
        <w:t>band</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Κοχλίες &amp; περικόχλια: Ανοξείδωτος χάλυβας.</w:t>
      </w:r>
    </w:p>
    <w:p w:rsidR="008E12C0" w:rsidRPr="002F6C3E" w:rsidRDefault="00127C76" w:rsidP="002F6C3E">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r w:rsidRPr="00F57922">
        <w:rPr>
          <w:rFonts w:ascii="Century Gothic" w:hAnsi="Century Gothic"/>
          <w:sz w:val="20"/>
          <w:szCs w:val="20"/>
        </w:rPr>
        <w:t>full</w:t>
      </w:r>
      <w:r w:rsidRPr="006F61B3">
        <w:rPr>
          <w:rFonts w:ascii="Century Gothic" w:hAnsi="Century Gothic"/>
          <w:sz w:val="20"/>
          <w:szCs w:val="20"/>
        </w:rPr>
        <w:t xml:space="preserve"> </w:t>
      </w:r>
      <w:r w:rsidRPr="00F57922">
        <w:rPr>
          <w:rFonts w:ascii="Century Gothic" w:hAnsi="Century Gothic"/>
          <w:sz w:val="20"/>
          <w:szCs w:val="20"/>
        </w:rPr>
        <w:t>circle</w:t>
      </w:r>
      <w:r w:rsidR="002F6C3E">
        <w:rPr>
          <w:rFonts w:ascii="Century Gothic" w:hAnsi="Century Gothic"/>
          <w:sz w:val="20"/>
          <w:szCs w:val="20"/>
        </w:rPr>
        <w:t>)</w:t>
      </w:r>
    </w:p>
    <w:p w:rsidR="008E12C0" w:rsidRPr="002F6C3E" w:rsidRDefault="002F6C3E" w:rsidP="002F6C3E">
      <w:pPr>
        <w:spacing w:before="90"/>
        <w:ind w:left="498" w:right="3123" w:hanging="1"/>
        <w:rPr>
          <w:b/>
          <w:sz w:val="32"/>
        </w:rPr>
      </w:pPr>
      <w:r>
        <w:rPr>
          <w:b/>
          <w:sz w:val="32"/>
        </w:rPr>
        <w:t xml:space="preserve">          </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A53725" w:rsidRDefault="00A53725" w:rsidP="003C105F">
      <w:pPr>
        <w:pStyle w:val="a4"/>
        <w:spacing w:before="170" w:line="292" w:lineRule="auto"/>
        <w:ind w:right="-99" w:hanging="1"/>
        <w:jc w:val="both"/>
        <w:rPr>
          <w:rFonts w:ascii="Century Gothic" w:eastAsiaTheme="minorEastAsia" w:hAnsi="Century Gothic" w:cstheme="minorBidi"/>
          <w:b/>
          <w:lang w:val="el-GR" w:eastAsia="el-GR"/>
        </w:rPr>
      </w:pPr>
      <w:r w:rsidRPr="00A53725">
        <w:rPr>
          <w:rFonts w:ascii="Century Gothic" w:eastAsiaTheme="minorEastAsia" w:hAnsi="Century Gothic" w:cstheme="minorBidi"/>
          <w:b/>
          <w:lang w:val="el-GR" w:eastAsia="el-GR"/>
        </w:rPr>
        <w:t xml:space="preserve"> </w:t>
      </w:r>
      <w:r w:rsidR="002F6C3E">
        <w:rPr>
          <w:rFonts w:ascii="Century Gothic" w:eastAsiaTheme="minorEastAsia" w:hAnsi="Century Gothic" w:cstheme="minorBidi"/>
          <w:b/>
          <w:lang w:val="el-GR" w:eastAsia="el-GR"/>
        </w:rPr>
        <w:t xml:space="preserve">                              </w:t>
      </w:r>
      <w:r w:rsidRPr="00A53725">
        <w:rPr>
          <w:rFonts w:ascii="Century Gothic" w:eastAsiaTheme="minorEastAsia" w:hAnsi="Century Gothic" w:cstheme="minorBidi"/>
          <w:b/>
          <w:lang w:val="el-GR" w:eastAsia="el-GR"/>
        </w:rPr>
        <w:t xml:space="preserve">  </w:t>
      </w:r>
      <w:r w:rsidR="008E12C0" w:rsidRPr="00A53725">
        <w:rPr>
          <w:rFonts w:ascii="Century Gothic" w:eastAsiaTheme="minorEastAsia" w:hAnsi="Century Gothic" w:cstheme="minorBidi"/>
          <w:b/>
          <w:lang w:val="el-GR" w:eastAsia="el-GR"/>
        </w:rPr>
        <w:t>ΤΕΧΝΙΚΗ ΠΡΟΔΙΑΓΡΑΦΗ 17 (ΤΠ 17)</w:t>
      </w:r>
    </w:p>
    <w:p w:rsidR="008E12C0" w:rsidRPr="00A53725" w:rsidRDefault="008E12C0" w:rsidP="003C105F">
      <w:pPr>
        <w:pStyle w:val="a4"/>
        <w:spacing w:before="170" w:line="292" w:lineRule="auto"/>
        <w:ind w:right="-99" w:hanging="1"/>
        <w:jc w:val="both"/>
        <w:rPr>
          <w:rFonts w:ascii="Century Gothic" w:eastAsiaTheme="minorEastAsia" w:hAnsi="Century Gothic" w:cstheme="minorBidi"/>
          <w:b/>
          <w:lang w:val="el-GR" w:eastAsia="el-GR"/>
        </w:rPr>
      </w:pPr>
      <w:r w:rsidRPr="00A53725">
        <w:rPr>
          <w:rFonts w:ascii="Century Gothic" w:eastAsiaTheme="minorEastAsia" w:hAnsi="Century Gothic" w:cstheme="minorBidi"/>
          <w:b/>
          <w:lang w:val="el-GR" w:eastAsia="el-GR"/>
        </w:rPr>
        <w:t xml:space="preserve">                 ΒΑΛΒΙΔΕΣ ΕΙΣΑΓΩΓΗΣ –    ΕΞΑΓΩΓΗΣ ΑΕΡΑ ΔΙΠΛΗΣ ΕΝΕΡΓΕΙΑΣ</w:t>
      </w:r>
    </w:p>
    <w:p w:rsidR="0006249E" w:rsidRPr="00A53725" w:rsidRDefault="0006249E" w:rsidP="00810983">
      <w:pPr>
        <w:pStyle w:val="a4"/>
        <w:spacing w:before="170" w:line="292" w:lineRule="auto"/>
        <w:ind w:right="-99" w:hanging="1"/>
        <w:jc w:val="both"/>
        <w:rPr>
          <w:rFonts w:ascii="Century Gothic" w:eastAsiaTheme="minorEastAsia" w:hAnsi="Century Gothic" w:cstheme="minorBidi"/>
          <w:b/>
          <w:lang w:val="el-GR" w:eastAsia="el-GR"/>
        </w:rPr>
      </w:pPr>
    </w:p>
    <w:p w:rsidR="008E12C0" w:rsidRPr="00A53725" w:rsidRDefault="008E12C0" w:rsidP="003C105F">
      <w:pPr>
        <w:pStyle w:val="a4"/>
        <w:spacing w:before="170" w:line="292" w:lineRule="auto"/>
        <w:ind w:right="-99" w:hanging="1"/>
        <w:jc w:val="both"/>
        <w:rPr>
          <w:rFonts w:ascii="Century Gothic" w:eastAsiaTheme="minorEastAsia" w:hAnsi="Century Gothic" w:cstheme="minorBidi"/>
          <w:b/>
          <w:lang w:val="el-GR" w:eastAsia="el-GR"/>
        </w:rPr>
      </w:pPr>
      <w:r w:rsidRPr="00A53725">
        <w:rPr>
          <w:rFonts w:ascii="Century Gothic" w:eastAsiaTheme="minorEastAsia" w:hAnsi="Century Gothic" w:cstheme="minorBidi"/>
          <w:b/>
          <w:lang w:val="el-GR" w:eastAsia="el-GR"/>
        </w:rPr>
        <w:t>ΚΡΙΤΗΡΙΑ ΑΠΟ∆ΟΧΗΣ ΣΤΟΙΧΕΙΩΝ</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ΧΑΡΑΚΤΗΡΙΣΤΙΚΑ ΒΑΛΒΙ∆ΩΝ ΕΙΣΑΓΩΓΗΣ – ΕΞΑΓΩΓΗΣ ΑΕΡΑ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βαλβίδες θα είναι κατασκευασµένες έτσι ώστε να αποκλείονται βλάβες λόγω σκωρίωσης κινητών µερών και οδηγών και θα εξασφαλίζουν πλήρη στεγανότητα, όταν δεν είναι ανοικτές για την αποµάκρυνση του αέρα.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συσκευές που θα χρησιµοποιηθούν από τον Ανάδοχο θα πληρούν τα κύρια χαρακτηριστικά τα οποία ανταποκρίνονται στις συσκευές ενδεικτικού τύπου Αpex Air Relief Valves της Glenfield και θα παρέχουν κατά τις δοκιµές και την λειτουργία τον ίδιο βαθµό ασφάλειας που αποδίδεται από τις συσκευές αυτές. Η χρησιµοποίηση οποιωνδήποτε άλλων συσκευών αναλόγων χαρακτηριστικών είναι αποδεκτή.</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bookmarkStart w:id="0" w:name="_TOC_250011"/>
      <w:r w:rsidRPr="003C105F">
        <w:rPr>
          <w:rFonts w:ascii="Century Gothic" w:eastAsiaTheme="minorEastAsia" w:hAnsi="Century Gothic" w:cstheme="minorBidi"/>
          <w:lang w:val="el-GR" w:eastAsia="el-GR"/>
        </w:rPr>
        <w:t xml:space="preserve">ΕΠΙΜΕΡΟΥΣ ΣΤΟΙΧΕΙΑ - </w:t>
      </w:r>
      <w:bookmarkEnd w:id="0"/>
      <w:r w:rsidRPr="003C105F">
        <w:rPr>
          <w:rFonts w:ascii="Century Gothic" w:eastAsiaTheme="minorEastAsia" w:hAnsi="Century Gothic" w:cstheme="minorBidi"/>
          <w:lang w:val="el-GR" w:eastAsia="el-GR"/>
        </w:rPr>
        <w:t>ΕΞΑΡΤΗΜΑΤΑ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Τα εξαρτήµατα των βαλβίδων εισαγωγής – εξαγωγής αέρα θα πρέπει να έχουν τα ακολουθα χαρακτηριστικά, εκτός αν άλλως προδιαγράφεται στην Μελέτη.</w:t>
      </w:r>
    </w:p>
    <w:tbl>
      <w:tblPr>
        <w:tblStyle w:val="TableNormal"/>
        <w:tblpPr w:leftFromText="180" w:rightFromText="180" w:vertAnchor="text" w:horzAnchor="margin" w:tblpY="301"/>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3"/>
        <w:gridCol w:w="4395"/>
      </w:tblGrid>
      <w:tr w:rsidR="00A53725" w:rsidRPr="003C105F" w:rsidTr="00A53725">
        <w:trPr>
          <w:trHeight w:val="399"/>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Στοιχείο συσκευής</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Χαρακτηριστικά υλικού</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Σώµα</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Χυτοσίδηρος GG 25/GGG 40</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lastRenderedPageBreak/>
              <w:t>Φλοτέρ</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ABS</w:t>
            </w:r>
          </w:p>
        </w:tc>
      </w:tr>
      <w:tr w:rsidR="00A53725" w:rsidRPr="003C105F" w:rsidTr="00A53725">
        <w:trPr>
          <w:trHeight w:val="399"/>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Σώµα φλοτέρ</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Χυτοσίδηρος GG 25/GGG 40</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Βαλβίδα εξαγωγής</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ABS</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Κάλυµµα εξαγωγής</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ABS</w:t>
            </w:r>
          </w:p>
        </w:tc>
      </w:tr>
      <w:tr w:rsidR="00A53725" w:rsidRPr="003C105F" w:rsidTr="00A53725">
        <w:trPr>
          <w:trHeight w:val="399"/>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Κύλινδρος</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ABS</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Καπάκι βαλβίδας</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Χυτοσίδηρος + NBR</w:t>
            </w:r>
          </w:p>
        </w:tc>
      </w:tr>
      <w:tr w:rsidR="00A53725" w:rsidRPr="003C105F" w:rsidTr="00A53725">
        <w:trPr>
          <w:trHeight w:val="400"/>
        </w:trPr>
        <w:tc>
          <w:tcPr>
            <w:tcW w:w="4393"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Κάλυµµα</w:t>
            </w:r>
          </w:p>
        </w:tc>
        <w:tc>
          <w:tcPr>
            <w:tcW w:w="4395" w:type="dxa"/>
          </w:tcPr>
          <w:p w:rsidR="00A53725" w:rsidRPr="003C105F" w:rsidRDefault="00A53725" w:rsidP="00A53725">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Χυτοσίδηρος GG 25/GGG 40</w:t>
            </w:r>
          </w:p>
        </w:tc>
      </w:tr>
    </w:tbl>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A53725" w:rsidRDefault="008E12C0" w:rsidP="003C105F">
      <w:pPr>
        <w:pStyle w:val="a4"/>
        <w:spacing w:before="170" w:line="292" w:lineRule="auto"/>
        <w:ind w:right="-99" w:hanging="1"/>
        <w:jc w:val="both"/>
        <w:rPr>
          <w:rFonts w:ascii="Century Gothic" w:eastAsiaTheme="minorEastAsia" w:hAnsi="Century Gothic" w:cstheme="minorBidi"/>
          <w:b/>
          <w:lang w:val="el-GR" w:eastAsia="el-GR"/>
        </w:rPr>
      </w:pPr>
      <w:r w:rsidRPr="00A53725">
        <w:rPr>
          <w:rFonts w:ascii="Century Gothic" w:eastAsiaTheme="minorEastAsia" w:hAnsi="Century Gothic" w:cstheme="minorBidi"/>
          <w:b/>
          <w:lang w:val="el-GR" w:eastAsia="el-GR"/>
        </w:rPr>
        <w:t>ΧΑΡΑΚΤΗΡΙΣΤΙΚΑ ΛΕΙΤΟΥΡΓΙΑΣ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βαλβίδες εισαγωγής - εξαγωγής αέρα λειτουργούν στις εξής περιπτώσεις: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α. Κατά την πλήρωση του υδραγωγείου για την απαγωγή του εκδιωκόµενου αέρα.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β. Κατά την διάρκεια της κανονικής λειτουργίας του υδραγωγείου για την απαγωγή του διαλυµένου</w:t>
      </w:r>
    </w:p>
    <w:p w:rsidR="008E12C0" w:rsidRPr="003C105F" w:rsidRDefault="00183EAA" w:rsidP="003C105F">
      <w:pPr>
        <w:pStyle w:val="a4"/>
        <w:spacing w:before="170" w:line="292" w:lineRule="auto"/>
        <w:ind w:right="-99" w:hanging="1"/>
        <w:jc w:val="both"/>
        <w:rPr>
          <w:rFonts w:ascii="Century Gothic" w:eastAsiaTheme="minorEastAsia" w:hAnsi="Century Gothic" w:cstheme="minorBidi"/>
          <w:lang w:val="el-GR" w:eastAsia="el-GR"/>
        </w:rPr>
      </w:pPr>
      <w:r>
        <w:rPr>
          <w:rFonts w:ascii="Century Gothic" w:eastAsiaTheme="minorEastAsia" w:hAnsi="Century Gothic" w:cstheme="minorBidi"/>
          <w:lang w:val="el-GR" w:eastAsia="el-GR"/>
        </w:rPr>
        <w:t>μ</w:t>
      </w:r>
      <w:r w:rsidR="008E12C0" w:rsidRPr="003C105F">
        <w:rPr>
          <w:rFonts w:ascii="Century Gothic" w:eastAsiaTheme="minorEastAsia" w:hAnsi="Century Gothic" w:cstheme="minorBidi"/>
          <w:lang w:val="el-GR" w:eastAsia="el-GR"/>
        </w:rPr>
        <w:t xml:space="preserve">έσα στη </w:t>
      </w:r>
      <w:r>
        <w:rPr>
          <w:rFonts w:ascii="Century Gothic" w:eastAsiaTheme="minorEastAsia" w:hAnsi="Century Gothic" w:cstheme="minorBidi"/>
          <w:lang w:val="el-GR" w:eastAsia="el-GR"/>
        </w:rPr>
        <w:t>μ</w:t>
      </w:r>
      <w:r w:rsidR="008E12C0" w:rsidRPr="003C105F">
        <w:rPr>
          <w:rFonts w:ascii="Century Gothic" w:eastAsiaTheme="minorEastAsia" w:hAnsi="Century Gothic" w:cstheme="minorBidi"/>
          <w:lang w:val="el-GR" w:eastAsia="el-GR"/>
        </w:rPr>
        <w:t>άζα του νερού αέρα, που ελευθερώνεται.</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γ. Σε περίπτωση πλήγ</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 xml:space="preserve">ατος για την εγκατάσταση </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έσα στον αγωγό των συνθηκών ατ</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οσφαιρικής πίεσης µε ά</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εση εισαγωγή αέρα.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 xml:space="preserve">Οι συσκευές συνδέονται </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όνι</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α µε το δίκτυο. Θα εγκαθίστανται σε καθαρά φρεάτια χωρίς λ</w:t>
      </w:r>
      <w:r w:rsidR="00183EAA">
        <w:rPr>
          <w:rFonts w:ascii="Century Gothic" w:eastAsiaTheme="minorEastAsia" w:hAnsi="Century Gothic" w:cstheme="minorBidi"/>
          <w:lang w:val="el-GR" w:eastAsia="el-GR"/>
        </w:rPr>
        <w:t>ιμ</w:t>
      </w:r>
      <w:r w:rsidRPr="003C105F">
        <w:rPr>
          <w:rFonts w:ascii="Century Gothic" w:eastAsiaTheme="minorEastAsia" w:hAnsi="Century Gothic" w:cstheme="minorBidi"/>
          <w:lang w:val="el-GR" w:eastAsia="el-GR"/>
        </w:rPr>
        <w:t>νάζοντα ακάθαρτα νερά, πάνω από την στάθ</w:t>
      </w:r>
      <w:r w:rsidR="00183EAA">
        <w:rPr>
          <w:rFonts w:ascii="Century Gothic" w:eastAsiaTheme="minorEastAsia" w:hAnsi="Century Gothic" w:cstheme="minorBidi"/>
          <w:lang w:val="el-GR" w:eastAsia="el-GR"/>
        </w:rPr>
        <w:t>μ</w:t>
      </w:r>
      <w:r w:rsidRPr="003C105F">
        <w:rPr>
          <w:rFonts w:ascii="Century Gothic" w:eastAsiaTheme="minorEastAsia" w:hAnsi="Century Gothic" w:cstheme="minorBidi"/>
          <w:lang w:val="el-GR" w:eastAsia="el-GR"/>
        </w:rPr>
        <w:t xml:space="preserve">η τυχόν υπάρχοντα </w:t>
      </w:r>
      <w:r w:rsidR="00183EAA">
        <w:rPr>
          <w:rFonts w:ascii="Century Gothic" w:eastAsiaTheme="minorEastAsia" w:hAnsi="Century Gothic" w:cstheme="minorBidi"/>
          <w:lang w:val="el-GR" w:eastAsia="el-GR"/>
        </w:rPr>
        <w:t>φρ</w:t>
      </w:r>
      <w:r w:rsidRPr="003C105F">
        <w:rPr>
          <w:rFonts w:ascii="Century Gothic" w:eastAsiaTheme="minorEastAsia" w:hAnsi="Century Gothic" w:cstheme="minorBidi"/>
          <w:lang w:val="el-GR" w:eastAsia="el-GR"/>
        </w:rPr>
        <w:t>ε</w:t>
      </w:r>
      <w:r w:rsidR="00183EAA">
        <w:rPr>
          <w:rFonts w:ascii="Century Gothic" w:eastAsiaTheme="minorEastAsia" w:hAnsi="Century Gothic" w:cstheme="minorBidi"/>
          <w:lang w:val="el-GR" w:eastAsia="el-GR"/>
        </w:rPr>
        <w:t>άτ</w:t>
      </w:r>
      <w:r w:rsidRPr="003C105F">
        <w:rPr>
          <w:rFonts w:ascii="Century Gothic" w:eastAsiaTheme="minorEastAsia" w:hAnsi="Century Gothic" w:cstheme="minorBidi"/>
          <w:lang w:val="el-GR" w:eastAsia="el-GR"/>
        </w:rPr>
        <w:t>ι</w:t>
      </w:r>
      <w:r w:rsidR="00183EAA">
        <w:rPr>
          <w:rFonts w:ascii="Century Gothic" w:eastAsiaTheme="minorEastAsia" w:hAnsi="Century Gothic" w:cstheme="minorBidi"/>
          <w:lang w:val="el-GR" w:eastAsia="el-GR"/>
        </w:rPr>
        <w:t>ου</w:t>
      </w:r>
      <w:r w:rsidRPr="003C105F">
        <w:rPr>
          <w:rFonts w:ascii="Century Gothic" w:eastAsiaTheme="minorEastAsia" w:hAnsi="Century Gothic" w:cstheme="minorBidi"/>
          <w:lang w:val="el-GR" w:eastAsia="el-GR"/>
        </w:rPr>
        <w:t xml:space="preserve"> ορίζοντα.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A53725" w:rsidRDefault="008E12C0" w:rsidP="003C105F">
      <w:pPr>
        <w:pStyle w:val="a4"/>
        <w:spacing w:before="170" w:line="292" w:lineRule="auto"/>
        <w:ind w:right="-99" w:hanging="1"/>
        <w:jc w:val="both"/>
        <w:rPr>
          <w:rFonts w:ascii="Century Gothic" w:eastAsiaTheme="minorEastAsia" w:hAnsi="Century Gothic" w:cstheme="minorBidi"/>
          <w:b/>
          <w:lang w:val="el-GR" w:eastAsia="el-GR"/>
        </w:rPr>
      </w:pPr>
      <w:r w:rsidRPr="00A53725">
        <w:rPr>
          <w:rFonts w:ascii="Century Gothic" w:eastAsiaTheme="minorEastAsia" w:hAnsi="Century Gothic" w:cstheme="minorBidi"/>
          <w:b/>
          <w:lang w:val="el-GR" w:eastAsia="el-GR"/>
        </w:rPr>
        <w:t>ΑΠΟ∆ΕΚΤΕΣ ΣΥΣΚΕΥΕΣ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συσκευές θα προέρχονται από κατασκευαστές µε πιστοποιηµένη κατά ΕΝ ISO 9000:2000-121</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παραγωγική διαδικασία.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Κατά την προτίµηση στο εργοτάξιο θα ελέγχονται οι προδιαγραφές και τα πιστοποιητικά καθώς και οι βεβαιώσεις επιτυχούς εφαρµογής των συσκευών.</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βαλβίδες εισαγωγής – εξαγωγής αέρα θα πληρούν κατ’ ελάχιστον τις ακόλουθες απαιτήσεις.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Θα εξασφαλίζουν την αυτόµατη εισαγωγή και εξαγωγή αέρα, αφ’ ενός µεν κατά τις εργασίες ταχείας πλήρωσης και εκκένωσης του αγωγού και αφ’ ετέρου κατά την συνήθη λειτουργία του αγωγού, µέσω διπλών πλωτήρων, σφαιρικών ή άλλου σχήµατος.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Θα αντέχουν σε πίεση τουλάχιστον ίση µε την πίεση δοκιµής του αγωγού.</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lastRenderedPageBreak/>
        <w:t>Η διάµετρος του µικρού ακροφυσίου θα είναι τουλάχιστον 4 mm. Για την πίεση λειτουργίας o</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πλωτήρας, εφόσον δηµιουργηθεί αέρας, θα ελευθερώνει το ακροφύσιο και θα το αποφράσσει</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µόλις εξαντληθεί ο αέρας.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Το µεγάλο ακροφύσιο των αεροβαλβίδων θα µένει ανοικτό κατά την λειτουργία τους, εφόσον εξακολουθεί να εξέρχεται αέρας ή έστω και µίγµα αέρα-νερού, και θα κλείνει όταν εξέρχεται</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µόνο νερό.</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 πλωτήρας του µεγάλου ακροφυσίου θα φθάσει το ακροφύσιο µόλις εξαντληθεί o αέρας και σε καµία περίπτωση δεν θα το αποφράσσει, ανεξάρτητα από την συγκέντρωση ή µη αέρα, παρά</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µόνο στην περίπτωση κατά την οποία θα δηµιουργηθεί µέσα στον αγωγό πίεση µικρότερη της ατµοσφαιρικής.</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αεροβαλβίδες θα µπορούν να συναρµολογούνται και να αποσυναρµολογούνται επί τόπου. Επιθυµητό είναι η επιθεώρηση και ο έλεγχός τους να γίνονται υπό πίεση.</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αεροβαλβίδες θα εξασφαλίζουν την εκκένωση του αέρα µε ταχύ ρυθµό και θα παρέχουv ασφάλεια στον πλωτήρα του µεγάλου ακροφυσίου κατά την πλήρωση του αγωγού µε νερό, ώστε να µην κλείνει η βαλβίδα προτού όλος ο αέρας εξέλθει από τον αγωγό.</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Η κατασκευή των αεροβαλβίδων θα είναι από υλικά που δεν θα οξειδώνονται και δεν θα αλλοιώνονται.</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Οι αεροβαλβίδες διπλού ακροφυσίου θα αντέχουν στις µέγιστες πιέσεις ελέγχου του αγωγού.</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p w:rsidR="008E12C0" w:rsidRPr="00BE4EE9" w:rsidRDefault="00DF564A" w:rsidP="003C105F">
      <w:pPr>
        <w:pStyle w:val="a4"/>
        <w:spacing w:before="170" w:line="292" w:lineRule="auto"/>
        <w:ind w:right="-99" w:hanging="1"/>
        <w:jc w:val="both"/>
        <w:rPr>
          <w:rFonts w:ascii="Century Gothic" w:eastAsiaTheme="minorEastAsia" w:hAnsi="Century Gothic" w:cstheme="minorBidi"/>
          <w:lang w:eastAsia="el-GR"/>
        </w:rPr>
      </w:pPr>
      <w:r>
        <w:rPr>
          <w:rFonts w:ascii="Century Gothic" w:eastAsiaTheme="minorEastAsia" w:hAnsi="Century Gothic" w:cstheme="minorBidi"/>
          <w:lang w:val="el-GR" w:eastAsia="el-GR"/>
        </w:rPr>
        <w:pict>
          <v:line id="_x0000_s1038" style="position:absolute;left:0;text-align:left;z-index:251663360;mso-wrap-distance-left:0;mso-wrap-distance-right:0;mso-position-horizontal-relative:page" from="56.7pt,12.6pt" to="200.7pt,12.6pt" strokeweight=".48pt">
            <w10:wrap type="topAndBottom" anchorx="page"/>
          </v:line>
        </w:pict>
      </w:r>
      <w:r w:rsidR="008E12C0" w:rsidRPr="00BE4EE9">
        <w:rPr>
          <w:rFonts w:ascii="Century Gothic" w:eastAsiaTheme="minorEastAsia" w:hAnsi="Century Gothic" w:cstheme="minorBidi"/>
          <w:lang w:eastAsia="el-GR"/>
        </w:rPr>
        <w:t xml:space="preserve">1 </w:t>
      </w:r>
      <w:r w:rsidR="008E12C0" w:rsidRPr="003C105F">
        <w:rPr>
          <w:rFonts w:ascii="Century Gothic" w:eastAsiaTheme="minorEastAsia" w:hAnsi="Century Gothic" w:cstheme="minorBidi"/>
          <w:lang w:val="el-GR" w:eastAsia="el-GR"/>
        </w:rPr>
        <w:t>ΕΝ</w:t>
      </w:r>
      <w:r w:rsidR="008E12C0" w:rsidRPr="00BE4EE9">
        <w:rPr>
          <w:rFonts w:ascii="Century Gothic" w:eastAsiaTheme="minorEastAsia" w:hAnsi="Century Gothic" w:cstheme="minorBidi"/>
          <w:lang w:eastAsia="el-GR"/>
        </w:rPr>
        <w:t xml:space="preserve"> ISO 9000:2000-12, Quality management systems - Fundamentals and vocabulary -- </w:t>
      </w:r>
      <w:r w:rsidR="008E12C0" w:rsidRPr="003C105F">
        <w:rPr>
          <w:rFonts w:ascii="Century Gothic" w:eastAsiaTheme="minorEastAsia" w:hAnsi="Century Gothic" w:cstheme="minorBidi"/>
          <w:lang w:val="el-GR" w:eastAsia="el-GR"/>
        </w:rPr>
        <w:t>Συστή</w:t>
      </w:r>
      <w:r w:rsidR="008E12C0" w:rsidRPr="00BE4EE9">
        <w:rPr>
          <w:rFonts w:ascii="Century Gothic" w:eastAsiaTheme="minorEastAsia" w:hAnsi="Century Gothic" w:cstheme="minorBidi"/>
          <w:lang w:eastAsia="el-GR"/>
        </w:rPr>
        <w:t>µ</w:t>
      </w:r>
      <w:r w:rsidR="008E12C0" w:rsidRPr="003C105F">
        <w:rPr>
          <w:rFonts w:ascii="Century Gothic" w:eastAsiaTheme="minorEastAsia" w:hAnsi="Century Gothic" w:cstheme="minorBidi"/>
          <w:lang w:val="el-GR" w:eastAsia="el-GR"/>
        </w:rPr>
        <w:t>ατα</w:t>
      </w:r>
      <w:r w:rsidR="008E12C0" w:rsidRPr="00BE4EE9">
        <w:rPr>
          <w:rFonts w:ascii="Century Gothic" w:eastAsiaTheme="minorEastAsia" w:hAnsi="Century Gothic" w:cstheme="minorBidi"/>
          <w:lang w:eastAsia="el-GR"/>
        </w:rPr>
        <w:t xml:space="preserve"> </w:t>
      </w:r>
      <w:r w:rsidR="008E12C0" w:rsidRPr="003C105F">
        <w:rPr>
          <w:rFonts w:ascii="Century Gothic" w:eastAsiaTheme="minorEastAsia" w:hAnsi="Century Gothic" w:cstheme="minorBidi"/>
          <w:lang w:val="el-GR" w:eastAsia="el-GR"/>
        </w:rPr>
        <w:t>διαχείρισης</w:t>
      </w:r>
      <w:r w:rsidR="008E12C0" w:rsidRPr="00BE4EE9">
        <w:rPr>
          <w:rFonts w:ascii="Century Gothic" w:eastAsiaTheme="minorEastAsia" w:hAnsi="Century Gothic" w:cstheme="minorBidi"/>
          <w:lang w:eastAsia="el-GR"/>
        </w:rPr>
        <w:t xml:space="preserve"> </w:t>
      </w:r>
      <w:r w:rsidR="008E12C0" w:rsidRPr="003C105F">
        <w:rPr>
          <w:rFonts w:ascii="Century Gothic" w:eastAsiaTheme="minorEastAsia" w:hAnsi="Century Gothic" w:cstheme="minorBidi"/>
          <w:lang w:val="el-GR" w:eastAsia="el-GR"/>
        </w:rPr>
        <w:t>ποιότητος</w:t>
      </w:r>
      <w:r w:rsidR="008E12C0" w:rsidRPr="00BE4EE9">
        <w:rPr>
          <w:rFonts w:ascii="Century Gothic" w:eastAsiaTheme="minorEastAsia" w:hAnsi="Century Gothic" w:cstheme="minorBidi"/>
          <w:lang w:eastAsia="el-GR"/>
        </w:rPr>
        <w:t xml:space="preserve">. </w:t>
      </w:r>
    </w:p>
    <w:p w:rsidR="00ED4E47" w:rsidRPr="007733E4" w:rsidRDefault="00ED4E47" w:rsidP="003C105F">
      <w:pPr>
        <w:pStyle w:val="a4"/>
        <w:spacing w:before="170" w:line="292" w:lineRule="auto"/>
        <w:ind w:right="-99" w:hanging="1"/>
        <w:jc w:val="both"/>
        <w:rPr>
          <w:rFonts w:ascii="Century Gothic" w:eastAsiaTheme="minorEastAsia" w:hAnsi="Century Gothic" w:cstheme="minorBidi"/>
          <w:b/>
          <w:lang w:eastAsia="el-GR"/>
        </w:rPr>
      </w:pPr>
    </w:p>
    <w:p w:rsidR="00ED4E47" w:rsidRPr="007733E4" w:rsidRDefault="00ED4E47" w:rsidP="003C105F">
      <w:pPr>
        <w:pStyle w:val="a4"/>
        <w:spacing w:before="170" w:line="292" w:lineRule="auto"/>
        <w:ind w:right="-99" w:hanging="1"/>
        <w:jc w:val="both"/>
        <w:rPr>
          <w:rFonts w:ascii="Century Gothic" w:eastAsiaTheme="minorEastAsia" w:hAnsi="Century Gothic" w:cstheme="minorBidi"/>
          <w:b/>
          <w:lang w:eastAsia="el-GR"/>
        </w:rPr>
      </w:pPr>
    </w:p>
    <w:p w:rsidR="008E12C0" w:rsidRPr="00ED4E47" w:rsidRDefault="008E12C0" w:rsidP="003C105F">
      <w:pPr>
        <w:pStyle w:val="a4"/>
        <w:spacing w:before="170" w:line="292" w:lineRule="auto"/>
        <w:ind w:right="-99" w:hanging="1"/>
        <w:jc w:val="both"/>
        <w:rPr>
          <w:rFonts w:ascii="Century Gothic" w:eastAsiaTheme="minorEastAsia" w:hAnsi="Century Gothic" w:cstheme="minorBidi"/>
          <w:b/>
          <w:lang w:val="el-GR" w:eastAsia="el-GR"/>
        </w:rPr>
      </w:pPr>
      <w:r w:rsidRPr="00ED4E47">
        <w:rPr>
          <w:rFonts w:ascii="Century Gothic" w:eastAsiaTheme="minorEastAsia" w:hAnsi="Century Gothic" w:cstheme="minorBidi"/>
          <w:b/>
          <w:lang w:val="el-GR" w:eastAsia="el-GR"/>
        </w:rPr>
        <w:t>ΜΕΘΟ∆ΟΣ ΦΟΡΤΩΣΗΣ, ΜΕΤΑΦΟΡΑΣ ΚΑΙ ΑΠΟΘΕΣΗΣ ΣΥΣΚΕΥΩΝ</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Από την φύση τους, οι βαλβίδες εισαγωγής - εξαγωγής αέρα είναι υλικά µικρής µηχανικής αντοχής και εύκολα παραµορφώσιµα.</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Συνεπώς κατά την φόρτωση και εκφόρτωσή τους θα δίδεται η ανάλογη προσοχή για την αποφυγή κακώσεων.</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Κατά την µεταφορά, όπως και κατά την αποθήκευση, θα ελέγχονται τα υπερκείµενα βάρη.</w:t>
      </w:r>
    </w:p>
    <w:p w:rsidR="0032482A"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lastRenderedPageBreak/>
        <w:t>Κατά την φύλαξη, επιπλέον, οι βαλβίδες θα παραµένουν στα κιβώτια συσκευασίας τους και θα προστατεύονται από ηλιακό φως, λίπη, έλαια, πηγές θερµότητας κ.λπ.</w:t>
      </w:r>
    </w:p>
    <w:p w:rsidR="003C105F" w:rsidRPr="003C105F" w:rsidRDefault="0032482A" w:rsidP="007E44AB">
      <w:pPr>
        <w:pStyle w:val="a4"/>
        <w:spacing w:before="170" w:line="292" w:lineRule="auto"/>
        <w:ind w:right="-99" w:hanging="1"/>
        <w:jc w:val="both"/>
        <w:rPr>
          <w:rFonts w:ascii="Century Gothic" w:eastAsiaTheme="minorEastAsia" w:hAnsi="Century Gothic" w:cstheme="minorBidi"/>
          <w:lang w:val="el-GR" w:eastAsia="el-GR"/>
        </w:rPr>
      </w:pPr>
      <w:r w:rsidRPr="003C105F">
        <w:rPr>
          <w:rFonts w:ascii="Century Gothic" w:eastAsiaTheme="minorEastAsia" w:hAnsi="Century Gothic" w:cstheme="minorBidi"/>
          <w:lang w:val="el-GR" w:eastAsia="el-GR"/>
        </w:rPr>
        <w:t xml:space="preserve">   </w:t>
      </w:r>
      <w:r w:rsidR="007E44AB">
        <w:rPr>
          <w:rFonts w:ascii="Century Gothic" w:eastAsiaTheme="minorEastAsia" w:hAnsi="Century Gothic" w:cstheme="minorBidi"/>
          <w:lang w:val="el-GR" w:eastAsia="el-GR"/>
        </w:rPr>
        <w:t xml:space="preserve">                           </w:t>
      </w:r>
    </w:p>
    <w:p w:rsidR="0006249E" w:rsidRPr="004D27F8" w:rsidRDefault="007E44AB" w:rsidP="004D27F8">
      <w:pPr>
        <w:pStyle w:val="a4"/>
        <w:spacing w:before="170" w:line="292" w:lineRule="auto"/>
        <w:ind w:right="-99" w:hanging="1"/>
        <w:jc w:val="both"/>
        <w:rPr>
          <w:rFonts w:ascii="Century Gothic" w:eastAsiaTheme="minorEastAsia" w:hAnsi="Century Gothic" w:cstheme="minorBidi"/>
          <w:b/>
          <w:lang w:val="el-GR" w:eastAsia="el-GR"/>
        </w:rPr>
      </w:pPr>
      <w:r>
        <w:rPr>
          <w:rFonts w:ascii="Century Gothic" w:eastAsiaTheme="minorEastAsia" w:hAnsi="Century Gothic" w:cstheme="minorBidi"/>
          <w:b/>
          <w:lang w:val="el-GR" w:eastAsia="el-GR"/>
        </w:rPr>
        <w:t xml:space="preserve">                 </w:t>
      </w:r>
      <w:r w:rsidR="003C105F" w:rsidRPr="003C105F">
        <w:rPr>
          <w:rFonts w:ascii="Century Gothic" w:eastAsiaTheme="minorEastAsia" w:hAnsi="Century Gothic" w:cstheme="minorBidi"/>
          <w:b/>
          <w:lang w:val="el-GR" w:eastAsia="el-GR"/>
        </w:rPr>
        <w:t xml:space="preserve">                </w:t>
      </w:r>
      <w:r w:rsidR="007733E4">
        <w:rPr>
          <w:rFonts w:ascii="Century Gothic" w:eastAsiaTheme="minorEastAsia" w:hAnsi="Century Gothic" w:cstheme="minorBidi"/>
          <w:b/>
          <w:lang w:val="el-GR" w:eastAsia="el-GR"/>
        </w:rPr>
        <w:t xml:space="preserve">                        </w:t>
      </w:r>
    </w:p>
    <w:p w:rsidR="00130542" w:rsidRDefault="00130542" w:rsidP="0006249E">
      <w:pPr>
        <w:ind w:right="-908"/>
        <w:jc w:val="both"/>
        <w:rPr>
          <w:rFonts w:ascii="Century Gothic" w:hAnsi="Century Gothic"/>
          <w:sz w:val="20"/>
          <w:szCs w:val="20"/>
        </w:rPr>
      </w:pPr>
    </w:p>
    <w:p w:rsidR="00CD01E9" w:rsidRDefault="00CD01E9" w:rsidP="00CD01E9">
      <w:pPr>
        <w:tabs>
          <w:tab w:val="left" w:pos="210"/>
          <w:tab w:val="right" w:pos="8548"/>
        </w:tabs>
        <w:rPr>
          <w:rFonts w:ascii="Century Gothic" w:hAnsi="Century Gothic"/>
          <w:sz w:val="20"/>
          <w:szCs w:val="20"/>
        </w:rPr>
      </w:pPr>
      <w:r>
        <w:rPr>
          <w:rFonts w:ascii="Century Gothic" w:hAnsi="Century Gothic"/>
          <w:sz w:val="20"/>
          <w:szCs w:val="20"/>
        </w:rPr>
        <w:t xml:space="preserve">ΤΕΧΝΙΚΗ ΥΠΗΡΕΣΙΑ </w:t>
      </w:r>
      <w:r>
        <w:rPr>
          <w:rFonts w:ascii="Century Gothic" w:hAnsi="Century Gothic"/>
          <w:sz w:val="20"/>
          <w:szCs w:val="20"/>
        </w:rPr>
        <w:tab/>
        <w:t xml:space="preserve">ΓΙΑ ΤΟ ΤΜΗΜΑ ΠΡΟΜΗΘΕΙΩΝ </w:t>
      </w:r>
    </w:p>
    <w:p w:rsidR="00CD01E9" w:rsidRDefault="00CD01E9" w:rsidP="00CD01E9">
      <w:pPr>
        <w:tabs>
          <w:tab w:val="left" w:pos="420"/>
        </w:tabs>
        <w:rPr>
          <w:rFonts w:ascii="Century Gothic" w:hAnsi="Century Gothic"/>
          <w:sz w:val="20"/>
          <w:szCs w:val="20"/>
        </w:rPr>
      </w:pPr>
      <w:r>
        <w:rPr>
          <w:rFonts w:ascii="Century Gothic" w:hAnsi="Century Gothic"/>
          <w:b/>
          <w:sz w:val="20"/>
          <w:szCs w:val="20"/>
        </w:rPr>
        <w:tab/>
        <w:t xml:space="preserve">  </w:t>
      </w:r>
      <w:r>
        <w:rPr>
          <w:rFonts w:ascii="Century Gothic" w:hAnsi="Century Gothic"/>
          <w:sz w:val="20"/>
          <w:szCs w:val="20"/>
        </w:rPr>
        <w:t>ΔΕΥΑΛ</w:t>
      </w:r>
    </w:p>
    <w:p w:rsidR="00130542" w:rsidRDefault="00130542" w:rsidP="0006249E">
      <w:pPr>
        <w:ind w:right="-908"/>
        <w:jc w:val="both"/>
        <w:rPr>
          <w:rFonts w:ascii="Century Gothic" w:hAnsi="Century Gothic"/>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82"/>
        <w:gridCol w:w="4382"/>
      </w:tblGrid>
      <w:tr w:rsidR="00130542" w:rsidRPr="0006249E" w:rsidTr="00127C76">
        <w:tc>
          <w:tcPr>
            <w:tcW w:w="4927" w:type="dxa"/>
          </w:tcPr>
          <w:p w:rsidR="00130542" w:rsidRPr="0006249E" w:rsidRDefault="00130542" w:rsidP="00127C76">
            <w:pPr>
              <w:jc w:val="center"/>
              <w:rPr>
                <w:rFonts w:ascii="Century Gothic" w:eastAsiaTheme="minorEastAsia" w:hAnsi="Century Gothic" w:cstheme="minorBidi"/>
              </w:rPr>
            </w:pPr>
          </w:p>
        </w:tc>
        <w:tc>
          <w:tcPr>
            <w:tcW w:w="4927" w:type="dxa"/>
          </w:tcPr>
          <w:p w:rsidR="00130542" w:rsidRPr="0006249E" w:rsidRDefault="00130542" w:rsidP="00127C76">
            <w:pPr>
              <w:jc w:val="center"/>
              <w:rPr>
                <w:rFonts w:ascii="Century Gothic" w:eastAsiaTheme="minorEastAsia" w:hAnsi="Century Gothic" w:cstheme="minorBidi"/>
              </w:rPr>
            </w:pPr>
          </w:p>
        </w:tc>
      </w:tr>
    </w:tbl>
    <w:p w:rsidR="00130542" w:rsidRDefault="00130542" w:rsidP="00130542">
      <w:pPr>
        <w:jc w:val="both"/>
        <w:rPr>
          <w:sz w:val="24"/>
          <w:szCs w:val="24"/>
        </w:rPr>
      </w:pPr>
    </w:p>
    <w:p w:rsidR="00130542" w:rsidRDefault="00130542" w:rsidP="00130542">
      <w:pPr>
        <w:rPr>
          <w:rFonts w:ascii="Century Gothic" w:hAnsi="Century Gothic"/>
          <w:sz w:val="20"/>
          <w:szCs w:val="20"/>
          <w:lang w:val="en-US"/>
        </w:rPr>
      </w:pPr>
    </w:p>
    <w:p w:rsidR="00130542" w:rsidRDefault="00130542" w:rsidP="00130542">
      <w:pPr>
        <w:rPr>
          <w:rFonts w:ascii="Century Gothic" w:hAnsi="Century Gothic"/>
          <w:sz w:val="20"/>
          <w:szCs w:val="20"/>
          <w:lang w:val="en-US"/>
        </w:rPr>
      </w:pPr>
    </w:p>
    <w:p w:rsidR="00130542" w:rsidRDefault="00130542" w:rsidP="00130542">
      <w:pPr>
        <w:rPr>
          <w:rFonts w:ascii="Century Gothic" w:hAnsi="Century Gothic"/>
          <w:sz w:val="20"/>
          <w:szCs w:val="20"/>
          <w:lang w:val="en-US"/>
        </w:rPr>
      </w:pPr>
    </w:p>
    <w:p w:rsidR="00130542" w:rsidRDefault="00130542" w:rsidP="00130542">
      <w:pPr>
        <w:rPr>
          <w:rFonts w:ascii="Century Gothic" w:hAnsi="Century Gothic"/>
          <w:sz w:val="20"/>
          <w:szCs w:val="20"/>
          <w:lang w:val="en-US"/>
        </w:rPr>
      </w:pPr>
    </w:p>
    <w:p w:rsidR="00127C76" w:rsidRDefault="00127C76"/>
    <w:sectPr w:rsidR="00127C76" w:rsidSect="0006249E">
      <w:footerReference w:type="even" r:id="rId8"/>
      <w:footerReference w:type="default" r:id="rId9"/>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DC" w:rsidRDefault="000637DC" w:rsidP="00810983">
      <w:pPr>
        <w:spacing w:after="0" w:line="240" w:lineRule="auto"/>
      </w:pPr>
      <w:r>
        <w:separator/>
      </w:r>
    </w:p>
  </w:endnote>
  <w:endnote w:type="continuationSeparator" w:id="1">
    <w:p w:rsidR="000637DC" w:rsidRDefault="000637DC" w:rsidP="0081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DF564A">
    <w:pPr>
      <w:pStyle w:val="a4"/>
      <w:spacing w:line="14" w:lineRule="auto"/>
    </w:pPr>
    <w:r w:rsidRPr="00DF564A">
      <w:pict>
        <v:line id="_x0000_s2052" style="position:absolute;z-index:-251653120;mso-position-horizontal-relative:page;mso-position-vertical-relative:page" from="55.2pt,776.45pt" to="525.9pt,776.45pt" strokeweight=".48pt">
          <w10:wrap anchorx="page" anchory="page"/>
        </v:line>
      </w:pict>
    </w:r>
    <w:r w:rsidRPr="00DF564A">
      <w:pict>
        <v:shapetype id="_x0000_t202" coordsize="21600,21600" o:spt="202" path="m,l,21600r21600,l21600,xe">
          <v:stroke joinstyle="miter"/>
          <v:path gradientshapeok="t" o:connecttype="rect"/>
        </v:shapetype>
        <v:shape id="_x0000_s2053" type="#_x0000_t202" style="position:absolute;margin-left:54.7pt;margin-top:780.35pt;width:18.3pt;height:14.3pt;z-index:-251652096;mso-position-horizontal-relative:page;mso-position-vertical-relative:page" filled="f" stroked="f">
          <v:textbox style="mso-next-textbox:#_x0000_s2053" inset="0,0,0,0">
            <w:txbxContent>
              <w:p w:rsidR="002E2ED0" w:rsidRDefault="00DF564A">
                <w:pPr>
                  <w:spacing w:before="12"/>
                  <w:ind w:left="40"/>
                </w:pPr>
                <w:fldSimple w:instr=" PAGE ">
                  <w:r w:rsidR="002E2ED0">
                    <w:rPr>
                      <w:noProof/>
                    </w:rPr>
                    <w:t>19</w:t>
                  </w:r>
                </w:fldSimple>
                <w:r w:rsidR="002E2ED0">
                  <w:t>/6</w:t>
                </w:r>
              </w:p>
            </w:txbxContent>
          </v:textbox>
          <w10:wrap anchorx="page" anchory="page"/>
        </v:shape>
      </w:pict>
    </w:r>
    <w:r w:rsidRPr="00DF564A">
      <w:pict>
        <v:shape id="_x0000_s2054" type="#_x0000_t202" style="position:absolute;margin-left:441pt;margin-top:782.15pt;width:84.55pt;height:12.1pt;z-index:-251651072;mso-position-horizontal-relative:page;mso-position-vertical-relative:page" filled="f" stroked="f">
          <v:textbox style="mso-next-textbox:#_x0000_s2054" inset="0,0,0,0">
            <w:txbxContent>
              <w:p w:rsidR="002E2ED0" w:rsidRDefault="002E2ED0">
                <w:pPr>
                  <w:spacing w:before="14"/>
                  <w:ind w:left="20"/>
                  <w:rPr>
                    <w:b/>
                    <w:sz w:val="18"/>
                  </w:rPr>
                </w:pPr>
                <w:r>
                  <w:rPr>
                    <w:b/>
                    <w:sz w:val="18"/>
                  </w:rPr>
                  <w:t>ΠΕΤΕΠ:08-06-07-03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2E2ED0">
    <w:pPr>
      <w:pStyle w:val="a4"/>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DC" w:rsidRDefault="000637DC" w:rsidP="00810983">
      <w:pPr>
        <w:spacing w:after="0" w:line="240" w:lineRule="auto"/>
      </w:pPr>
      <w:r>
        <w:separator/>
      </w:r>
    </w:p>
  </w:footnote>
  <w:footnote w:type="continuationSeparator" w:id="1">
    <w:p w:rsidR="000637DC" w:rsidRDefault="000637DC" w:rsidP="0081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130542"/>
    <w:rsid w:val="000008E4"/>
    <w:rsid w:val="000073FC"/>
    <w:rsid w:val="0006249E"/>
    <w:rsid w:val="000637DC"/>
    <w:rsid w:val="00077F7C"/>
    <w:rsid w:val="00127C76"/>
    <w:rsid w:val="00130542"/>
    <w:rsid w:val="00183EAA"/>
    <w:rsid w:val="00297A6C"/>
    <w:rsid w:val="002A1408"/>
    <w:rsid w:val="002E2ED0"/>
    <w:rsid w:val="002F6C3E"/>
    <w:rsid w:val="00315312"/>
    <w:rsid w:val="0032482A"/>
    <w:rsid w:val="003C105F"/>
    <w:rsid w:val="003C1CCE"/>
    <w:rsid w:val="003C6319"/>
    <w:rsid w:val="003F115C"/>
    <w:rsid w:val="00454433"/>
    <w:rsid w:val="004C215B"/>
    <w:rsid w:val="004D27F8"/>
    <w:rsid w:val="005144FE"/>
    <w:rsid w:val="00524E41"/>
    <w:rsid w:val="005665FE"/>
    <w:rsid w:val="0057331E"/>
    <w:rsid w:val="005966CD"/>
    <w:rsid w:val="00635346"/>
    <w:rsid w:val="0066296B"/>
    <w:rsid w:val="006B0591"/>
    <w:rsid w:val="007673E5"/>
    <w:rsid w:val="007733E4"/>
    <w:rsid w:val="007D7BA1"/>
    <w:rsid w:val="007E44AB"/>
    <w:rsid w:val="00810983"/>
    <w:rsid w:val="00894AB4"/>
    <w:rsid w:val="008E12C0"/>
    <w:rsid w:val="00912A3F"/>
    <w:rsid w:val="00915E76"/>
    <w:rsid w:val="00987B38"/>
    <w:rsid w:val="009907E3"/>
    <w:rsid w:val="00A53725"/>
    <w:rsid w:val="00A74D0F"/>
    <w:rsid w:val="00AA7467"/>
    <w:rsid w:val="00AF0E78"/>
    <w:rsid w:val="00B06800"/>
    <w:rsid w:val="00B17977"/>
    <w:rsid w:val="00B52E05"/>
    <w:rsid w:val="00B826EE"/>
    <w:rsid w:val="00BB284D"/>
    <w:rsid w:val="00BE4EE9"/>
    <w:rsid w:val="00BF13EF"/>
    <w:rsid w:val="00C116DE"/>
    <w:rsid w:val="00C32D13"/>
    <w:rsid w:val="00C51308"/>
    <w:rsid w:val="00C51F45"/>
    <w:rsid w:val="00C60A7B"/>
    <w:rsid w:val="00C76B23"/>
    <w:rsid w:val="00CD01E9"/>
    <w:rsid w:val="00D671C2"/>
    <w:rsid w:val="00DF564A"/>
    <w:rsid w:val="00DF7212"/>
    <w:rsid w:val="00E03A43"/>
    <w:rsid w:val="00EB550B"/>
    <w:rsid w:val="00ED4E47"/>
    <w:rsid w:val="00EF3E51"/>
    <w:rsid w:val="00F27B06"/>
    <w:rsid w:val="00FA5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Heading2">
    <w:name w:val="Heading 2"/>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Heading4">
    <w:name w:val="Heading 4"/>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1D6-1FE5-41B6-B6FF-DF147C0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1529</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7</cp:revision>
  <dcterms:created xsi:type="dcterms:W3CDTF">2018-06-06T07:18:00Z</dcterms:created>
  <dcterms:modified xsi:type="dcterms:W3CDTF">2018-06-20T07:40:00Z</dcterms:modified>
</cp:coreProperties>
</file>